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7E92" w14:textId="77777777" w:rsidR="00AE5B12" w:rsidRPr="000075B1" w:rsidRDefault="00AE5B12" w:rsidP="00AE5B12">
      <w:pPr>
        <w:spacing w:after="0"/>
        <w:jc w:val="center"/>
        <w:rPr>
          <w:rFonts w:ascii="Times New Roman" w:hAnsi="Times New Roman" w:cs="Times New Roman"/>
          <w:sz w:val="24"/>
          <w:szCs w:val="24"/>
        </w:rPr>
      </w:pPr>
      <w:r w:rsidRPr="000075B1">
        <w:rPr>
          <w:rFonts w:ascii="Times New Roman" w:hAnsi="Times New Roman" w:cs="Times New Roman"/>
          <w:b/>
          <w:bCs/>
          <w:sz w:val="24"/>
          <w:szCs w:val="24"/>
        </w:rPr>
        <w:t>ECO 2013 Principles of Macroeconomics</w:t>
      </w:r>
    </w:p>
    <w:p w14:paraId="397561B5" w14:textId="63B39569" w:rsidR="00AE5B12" w:rsidRPr="000075B1" w:rsidRDefault="00AE5B12" w:rsidP="00AE5B12">
      <w:pPr>
        <w:spacing w:after="0"/>
        <w:jc w:val="center"/>
        <w:rPr>
          <w:rFonts w:ascii="Times New Roman" w:hAnsi="Times New Roman" w:cs="Times New Roman"/>
          <w:sz w:val="24"/>
          <w:szCs w:val="24"/>
        </w:rPr>
      </w:pPr>
    </w:p>
    <w:p w14:paraId="67323F36" w14:textId="77777777" w:rsidR="00AE5B12" w:rsidRPr="000075B1" w:rsidRDefault="00AE5B12" w:rsidP="00AE5B12">
      <w:pPr>
        <w:spacing w:after="0"/>
        <w:jc w:val="center"/>
        <w:rPr>
          <w:rFonts w:ascii="Times New Roman" w:hAnsi="Times New Roman" w:cs="Times New Roman"/>
          <w:sz w:val="24"/>
          <w:szCs w:val="24"/>
        </w:rPr>
      </w:pPr>
      <w:r w:rsidRPr="000075B1">
        <w:rPr>
          <w:rFonts w:ascii="Times New Roman" w:hAnsi="Times New Roman" w:cs="Times New Roman"/>
          <w:b/>
          <w:bCs/>
          <w:sz w:val="24"/>
          <w:szCs w:val="24"/>
        </w:rPr>
        <w:t>Florida International University</w:t>
      </w:r>
    </w:p>
    <w:p w14:paraId="0DAFD668"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w:t>
      </w:r>
    </w:p>
    <w:p w14:paraId="2DC11AD1" w14:textId="1ECE63C0" w:rsidR="00AE5B12" w:rsidRPr="000075B1" w:rsidRDefault="000075B1" w:rsidP="00AE5B12">
      <w:pPr>
        <w:spacing w:after="0"/>
        <w:rPr>
          <w:rFonts w:ascii="Times New Roman" w:hAnsi="Times New Roman" w:cs="Times New Roman"/>
          <w:sz w:val="24"/>
          <w:szCs w:val="24"/>
        </w:rPr>
      </w:pPr>
      <w:r>
        <w:rPr>
          <w:rFonts w:ascii="Times New Roman" w:hAnsi="Times New Roman" w:cs="Times New Roman"/>
          <w:b/>
          <w:bCs/>
          <w:sz w:val="24"/>
          <w:szCs w:val="24"/>
        </w:rPr>
        <w:t>Spring 2025</w:t>
      </w:r>
    </w:p>
    <w:p w14:paraId="642E7EE4"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66C6EF28"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General Course Information</w:t>
      </w:r>
    </w:p>
    <w:p w14:paraId="78D1B4CF"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Instructor: Jean-Philippe Sasore</w:t>
      </w:r>
    </w:p>
    <w:p w14:paraId="20125CE4" w14:textId="60B67526" w:rsidR="00AE5B12" w:rsidRPr="000075B1" w:rsidRDefault="00AE5B12" w:rsidP="00011621">
      <w:pPr>
        <w:pStyle w:val="NormalWeb"/>
        <w:spacing w:before="0" w:beforeAutospacing="0" w:after="0" w:afterAutospacing="0"/>
      </w:pPr>
      <w:r w:rsidRPr="000075B1">
        <w:t xml:space="preserve">Class Schedule &amp; Location: </w:t>
      </w:r>
      <w:r w:rsidR="00011621" w:rsidRPr="000075B1">
        <w:t>Mo-We 11.00am-12.15pm, GC 280</w:t>
      </w:r>
    </w:p>
    <w:p w14:paraId="7B825BAF"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Office Hours: By appointment</w:t>
      </w:r>
    </w:p>
    <w:p w14:paraId="53044601"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Email: jsasore@fiu.edu</w:t>
      </w:r>
    </w:p>
    <w:p w14:paraId="65FE70E6"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w:t>
      </w:r>
    </w:p>
    <w:p w14:paraId="6D3E0DE8"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w:t>
      </w:r>
    </w:p>
    <w:p w14:paraId="00A85BC5"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Course Syllabus</w:t>
      </w:r>
    </w:p>
    <w:p w14:paraId="55D549FD"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72845C4E" w14:textId="67B10621"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Overview:</w:t>
      </w:r>
      <w:r w:rsidRPr="000075B1">
        <w:rPr>
          <w:rFonts w:ascii="Times New Roman" w:hAnsi="Times New Roman" w:cs="Times New Roman"/>
          <w:sz w:val="24"/>
          <w:szCs w:val="24"/>
        </w:rPr>
        <w:t xml:space="preserve"> </w:t>
      </w:r>
      <w:r w:rsidR="00011621" w:rsidRPr="000075B1">
        <w:rPr>
          <w:rFonts w:ascii="Times New Roman" w:hAnsi="Times New Roman" w:cs="Times New Roman"/>
          <w:sz w:val="24"/>
          <w:szCs w:val="24"/>
        </w:rPr>
        <w:t>This course will introduce students to the building blocks of Microeconomic theory. You will learn about the problem of scarcity, consumer choice, the workings of markets and different types of market arrangements. At the end of this course, you will be able to understand how individuals, households and firms make economics decisions and the effects thereof.</w:t>
      </w:r>
    </w:p>
    <w:p w14:paraId="5AD60921"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60292D4C" w14:textId="2EA3587A"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Course text: “</w:t>
      </w:r>
      <w:r w:rsidRPr="000075B1">
        <w:rPr>
          <w:rFonts w:ascii="Times New Roman" w:hAnsi="Times New Roman" w:cs="Times New Roman"/>
          <w:sz w:val="24"/>
          <w:szCs w:val="24"/>
        </w:rPr>
        <w:t>Principles of M</w:t>
      </w:r>
      <w:r w:rsidR="00011621" w:rsidRPr="000075B1">
        <w:rPr>
          <w:rFonts w:ascii="Times New Roman" w:hAnsi="Times New Roman" w:cs="Times New Roman"/>
          <w:sz w:val="24"/>
          <w:szCs w:val="24"/>
        </w:rPr>
        <w:t>i</w:t>
      </w:r>
      <w:r w:rsidRPr="000075B1">
        <w:rPr>
          <w:rFonts w:ascii="Times New Roman" w:hAnsi="Times New Roman" w:cs="Times New Roman"/>
          <w:sz w:val="24"/>
          <w:szCs w:val="24"/>
        </w:rPr>
        <w:t>croeconomics” with Top Hat, Stephen Buckles et al.</w:t>
      </w:r>
    </w:p>
    <w:p w14:paraId="26BBB58C"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0A3075C8"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xml:space="preserve">Grading: </w:t>
      </w:r>
      <w:r w:rsidRPr="000075B1">
        <w:rPr>
          <w:rFonts w:ascii="Times New Roman" w:hAnsi="Times New Roman" w:cs="Times New Roman"/>
          <w:sz w:val="24"/>
          <w:szCs w:val="24"/>
        </w:rPr>
        <w:t>final grades for this class will be calculated as a cumulative percentage of the following:</w:t>
      </w:r>
    </w:p>
    <w:p w14:paraId="00233CCC"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Attendance and participation: up to 10 points                       </w:t>
      </w:r>
    </w:p>
    <w:p w14:paraId="62E007FE" w14:textId="188A1EFB"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In-class Quizzes: 4 of these worth 20 points each (schedule TB</w:t>
      </w:r>
      <w:r w:rsidR="00011621" w:rsidRPr="000075B1">
        <w:rPr>
          <w:rFonts w:ascii="Times New Roman" w:hAnsi="Times New Roman" w:cs="Times New Roman"/>
          <w:sz w:val="24"/>
          <w:szCs w:val="24"/>
        </w:rPr>
        <w:t>D</w:t>
      </w:r>
      <w:r w:rsidRPr="000075B1">
        <w:rPr>
          <w:rFonts w:ascii="Times New Roman" w:hAnsi="Times New Roman" w:cs="Times New Roman"/>
          <w:sz w:val="24"/>
          <w:szCs w:val="24"/>
        </w:rPr>
        <w:t>)</w:t>
      </w:r>
    </w:p>
    <w:p w14:paraId="479F89B8" w14:textId="55FA156D"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Final exam (</w:t>
      </w:r>
      <w:r w:rsidR="00011621" w:rsidRPr="000075B1">
        <w:rPr>
          <w:rFonts w:ascii="Times New Roman" w:hAnsi="Times New Roman" w:cs="Times New Roman"/>
          <w:sz w:val="24"/>
          <w:szCs w:val="24"/>
        </w:rPr>
        <w:t>4/23 9.45-11.45; venue</w:t>
      </w:r>
      <w:r w:rsidRPr="000075B1">
        <w:rPr>
          <w:rFonts w:ascii="Times New Roman" w:hAnsi="Times New Roman" w:cs="Times New Roman"/>
          <w:sz w:val="24"/>
          <w:szCs w:val="24"/>
        </w:rPr>
        <w:t xml:space="preserve"> TBD): 40 points</w:t>
      </w:r>
    </w:p>
    <w:p w14:paraId="4E733607"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34EC90BF"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Final letter grades will be awarded based on the following scale:</w:t>
      </w:r>
    </w:p>
    <w:p w14:paraId="7279BFEF" w14:textId="77894ADC"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A</w:t>
      </w:r>
      <w:r w:rsidR="000075B1" w:rsidRPr="000075B1">
        <w:rPr>
          <w:rFonts w:ascii="Times New Roman" w:hAnsi="Times New Roman" w:cs="Times New Roman"/>
          <w:sz w:val="24"/>
          <w:szCs w:val="24"/>
        </w:rPr>
        <w:t>: 93</w:t>
      </w:r>
      <w:r w:rsidRPr="000075B1">
        <w:rPr>
          <w:rFonts w:ascii="Times New Roman" w:hAnsi="Times New Roman" w:cs="Times New Roman"/>
          <w:sz w:val="24"/>
          <w:szCs w:val="24"/>
        </w:rPr>
        <w:t xml:space="preserve"> and above</w:t>
      </w:r>
    </w:p>
    <w:p w14:paraId="43C517C7" w14:textId="107DED5F"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A-</w:t>
      </w:r>
      <w:r w:rsidR="000075B1" w:rsidRPr="000075B1">
        <w:rPr>
          <w:rFonts w:ascii="Times New Roman" w:hAnsi="Times New Roman" w:cs="Times New Roman"/>
          <w:sz w:val="24"/>
          <w:szCs w:val="24"/>
        </w:rPr>
        <w:t>: 90</w:t>
      </w:r>
      <w:r w:rsidRPr="000075B1">
        <w:rPr>
          <w:rFonts w:ascii="Times New Roman" w:hAnsi="Times New Roman" w:cs="Times New Roman"/>
          <w:sz w:val="24"/>
          <w:szCs w:val="24"/>
        </w:rPr>
        <w:t xml:space="preserve"> to 92</w:t>
      </w:r>
    </w:p>
    <w:p w14:paraId="7B2E131E"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B+: 87 to 89</w:t>
      </w:r>
    </w:p>
    <w:p w14:paraId="31A06055" w14:textId="30FD2734"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B</w:t>
      </w:r>
      <w:r w:rsidR="000075B1" w:rsidRPr="000075B1">
        <w:rPr>
          <w:rFonts w:ascii="Times New Roman" w:hAnsi="Times New Roman" w:cs="Times New Roman"/>
          <w:sz w:val="24"/>
          <w:szCs w:val="24"/>
        </w:rPr>
        <w:t>: 84</w:t>
      </w:r>
      <w:r w:rsidRPr="000075B1">
        <w:rPr>
          <w:rFonts w:ascii="Times New Roman" w:hAnsi="Times New Roman" w:cs="Times New Roman"/>
          <w:sz w:val="24"/>
          <w:szCs w:val="24"/>
        </w:rPr>
        <w:t xml:space="preserve"> to 86</w:t>
      </w:r>
    </w:p>
    <w:p w14:paraId="709C6F39"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B-: 80 to 83</w:t>
      </w:r>
    </w:p>
    <w:p w14:paraId="3C63CF73"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C+: 77 to 79</w:t>
      </w:r>
    </w:p>
    <w:p w14:paraId="5C1A3E6D"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C: 70 to 76</w:t>
      </w:r>
    </w:p>
    <w:p w14:paraId="75D9B8A8" w14:textId="3B2CC1EC"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D</w:t>
      </w:r>
      <w:r w:rsidR="000075B1" w:rsidRPr="000075B1">
        <w:rPr>
          <w:rFonts w:ascii="Times New Roman" w:hAnsi="Times New Roman" w:cs="Times New Roman"/>
          <w:sz w:val="24"/>
          <w:szCs w:val="24"/>
        </w:rPr>
        <w:t>: 60</w:t>
      </w:r>
      <w:r w:rsidRPr="000075B1">
        <w:rPr>
          <w:rFonts w:ascii="Times New Roman" w:hAnsi="Times New Roman" w:cs="Times New Roman"/>
          <w:sz w:val="24"/>
          <w:szCs w:val="24"/>
        </w:rPr>
        <w:t xml:space="preserve"> to 69</w:t>
      </w:r>
    </w:p>
    <w:p w14:paraId="3C8DF5CD"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F: less than 60</w:t>
      </w:r>
    </w:p>
    <w:p w14:paraId="2D1B7B30" w14:textId="77777777" w:rsidR="00AE5B12" w:rsidRPr="000075B1" w:rsidRDefault="00AE5B12" w:rsidP="00AE5B12">
      <w:pPr>
        <w:spacing w:after="0"/>
        <w:rPr>
          <w:rFonts w:ascii="Times New Roman" w:hAnsi="Times New Roman" w:cs="Times New Roman"/>
          <w:b/>
          <w:bCs/>
          <w:sz w:val="24"/>
          <w:szCs w:val="24"/>
        </w:rPr>
      </w:pPr>
      <w:r w:rsidRPr="000075B1">
        <w:rPr>
          <w:rFonts w:ascii="Times New Roman" w:hAnsi="Times New Roman" w:cs="Times New Roman"/>
          <w:b/>
          <w:bCs/>
          <w:sz w:val="24"/>
          <w:szCs w:val="24"/>
        </w:rPr>
        <w:t> </w:t>
      </w:r>
    </w:p>
    <w:p w14:paraId="3F487E74" w14:textId="77777777" w:rsidR="00AE5B12" w:rsidRPr="000075B1" w:rsidRDefault="00AE5B12" w:rsidP="00AE5B12">
      <w:pPr>
        <w:spacing w:after="0"/>
        <w:rPr>
          <w:rFonts w:ascii="Times New Roman" w:hAnsi="Times New Roman" w:cs="Times New Roman"/>
          <w:b/>
          <w:bCs/>
          <w:sz w:val="24"/>
          <w:szCs w:val="24"/>
        </w:rPr>
      </w:pPr>
    </w:p>
    <w:p w14:paraId="29D240FE" w14:textId="77777777" w:rsidR="00AE5B12" w:rsidRPr="000075B1" w:rsidRDefault="00AE5B12" w:rsidP="00AE5B12">
      <w:pPr>
        <w:spacing w:after="0"/>
        <w:rPr>
          <w:rFonts w:ascii="Times New Roman" w:hAnsi="Times New Roman" w:cs="Times New Roman"/>
          <w:b/>
          <w:bCs/>
          <w:sz w:val="24"/>
          <w:szCs w:val="24"/>
        </w:rPr>
      </w:pPr>
    </w:p>
    <w:p w14:paraId="5A6CAE89" w14:textId="77777777" w:rsidR="00AE5B12" w:rsidRPr="000075B1" w:rsidRDefault="00AE5B12" w:rsidP="00AE5B12">
      <w:pPr>
        <w:spacing w:after="0"/>
        <w:rPr>
          <w:rFonts w:ascii="Times New Roman" w:hAnsi="Times New Roman" w:cs="Times New Roman"/>
          <w:b/>
          <w:bCs/>
          <w:sz w:val="24"/>
          <w:szCs w:val="24"/>
        </w:rPr>
      </w:pPr>
    </w:p>
    <w:p w14:paraId="78022984" w14:textId="77777777" w:rsidR="00AE5B12" w:rsidRPr="000075B1" w:rsidRDefault="00AE5B12" w:rsidP="00AE5B12">
      <w:pPr>
        <w:spacing w:after="0"/>
        <w:rPr>
          <w:rFonts w:ascii="Times New Roman" w:hAnsi="Times New Roman" w:cs="Times New Roman"/>
          <w:sz w:val="24"/>
          <w:szCs w:val="24"/>
        </w:rPr>
      </w:pPr>
    </w:p>
    <w:p w14:paraId="12519F61"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lastRenderedPageBreak/>
        <w:t xml:space="preserve">Policies  </w:t>
      </w:r>
    </w:p>
    <w:p w14:paraId="605C15E4"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2E99DA07" w14:textId="77777777" w:rsid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Attendance</w:t>
      </w:r>
      <w:r w:rsidRPr="000075B1">
        <w:rPr>
          <w:rFonts w:ascii="Times New Roman" w:hAnsi="Times New Roman" w:cs="Times New Roman"/>
          <w:sz w:val="24"/>
          <w:szCs w:val="24"/>
        </w:rPr>
        <w:t xml:space="preserve">: While perfect attendance is neither expected nor required, you will receive full credit for attendance if you are present for at least 90% of all class meetings. </w:t>
      </w:r>
      <w:r w:rsidR="000075B1" w:rsidRPr="000075B1">
        <w:rPr>
          <w:rFonts w:ascii="Times New Roman" w:hAnsi="Times New Roman" w:cs="Times New Roman"/>
          <w:sz w:val="24"/>
          <w:szCs w:val="24"/>
        </w:rPr>
        <w:t>Attendance will be taken via Top Hat's attendance feature and with an attendance sheet. Make sure to enter the attendance code that is displayed on screen in class and sign the attendance sheet.</w:t>
      </w:r>
    </w:p>
    <w:p w14:paraId="47CDDE32" w14:textId="31CA07CC"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3FD1EE32"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Classroom Etiquette</w:t>
      </w:r>
      <w:r w:rsidRPr="000075B1">
        <w:rPr>
          <w:rFonts w:ascii="Times New Roman" w:hAnsi="Times New Roman" w:cs="Times New Roman"/>
          <w:sz w:val="24"/>
          <w:szCs w:val="24"/>
        </w:rPr>
        <w:t>: in order to ensure a conducive learning environment, please ensure that all disruptions are kept at a minimum. Cell phones should be silent at all times and bathroom breaks should be limited to emergencies only.</w:t>
      </w:r>
    </w:p>
    <w:p w14:paraId="73ABB952"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1DF171BB" w14:textId="51B516A4"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Communication</w:t>
      </w:r>
      <w:r w:rsidRPr="000075B1">
        <w:rPr>
          <w:rFonts w:ascii="Times New Roman" w:hAnsi="Times New Roman" w:cs="Times New Roman"/>
          <w:sz w:val="24"/>
          <w:szCs w:val="24"/>
        </w:rPr>
        <w:t>: the best way to get in touch with me is via email. If you do send me an email, please add “</w:t>
      </w:r>
      <w:r w:rsidRPr="000075B1">
        <w:rPr>
          <w:rFonts w:ascii="Times New Roman" w:hAnsi="Times New Roman" w:cs="Times New Roman"/>
          <w:b/>
          <w:bCs/>
          <w:sz w:val="24"/>
          <w:szCs w:val="24"/>
        </w:rPr>
        <w:t>FIU ECO 20</w:t>
      </w:r>
      <w:r w:rsidR="00011621" w:rsidRPr="000075B1">
        <w:rPr>
          <w:rFonts w:ascii="Times New Roman" w:hAnsi="Times New Roman" w:cs="Times New Roman"/>
          <w:b/>
          <w:bCs/>
          <w:sz w:val="24"/>
          <w:szCs w:val="24"/>
        </w:rPr>
        <w:t>2</w:t>
      </w:r>
      <w:r w:rsidRPr="000075B1">
        <w:rPr>
          <w:rFonts w:ascii="Times New Roman" w:hAnsi="Times New Roman" w:cs="Times New Roman"/>
          <w:b/>
          <w:bCs/>
          <w:sz w:val="24"/>
          <w:szCs w:val="24"/>
        </w:rPr>
        <w:t>3-</w:t>
      </w:r>
      <w:r w:rsidR="00011621" w:rsidRPr="000075B1">
        <w:rPr>
          <w:rFonts w:ascii="Times New Roman" w:hAnsi="Times New Roman" w:cs="Times New Roman"/>
          <w:b/>
          <w:bCs/>
          <w:sz w:val="24"/>
          <w:szCs w:val="24"/>
        </w:rPr>
        <w:t>S</w:t>
      </w:r>
      <w:r w:rsidRPr="000075B1">
        <w:rPr>
          <w:rFonts w:ascii="Times New Roman" w:hAnsi="Times New Roman" w:cs="Times New Roman"/>
          <w:b/>
          <w:bCs/>
          <w:sz w:val="24"/>
          <w:szCs w:val="24"/>
        </w:rPr>
        <w:t>2</w:t>
      </w:r>
      <w:r w:rsidR="000412F6">
        <w:rPr>
          <w:rFonts w:ascii="Times New Roman" w:hAnsi="Times New Roman" w:cs="Times New Roman"/>
          <w:b/>
          <w:bCs/>
          <w:sz w:val="24"/>
          <w:szCs w:val="24"/>
        </w:rPr>
        <w:t>5</w:t>
      </w:r>
      <w:r w:rsidRPr="000075B1">
        <w:rPr>
          <w:rFonts w:ascii="Times New Roman" w:hAnsi="Times New Roman" w:cs="Times New Roman"/>
          <w:sz w:val="24"/>
          <w:szCs w:val="24"/>
        </w:rPr>
        <w:t>” to your subject line. I will endeavor to respond to emails within 48 hours.</w:t>
      </w:r>
    </w:p>
    <w:p w14:paraId="52A4DEFC"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1A0B5166"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Quizzes</w:t>
      </w:r>
      <w:r w:rsidRPr="000075B1">
        <w:rPr>
          <w:rFonts w:ascii="Times New Roman" w:hAnsi="Times New Roman" w:cs="Times New Roman"/>
          <w:sz w:val="24"/>
          <w:szCs w:val="24"/>
        </w:rPr>
        <w:t>: there will be 4 in-class quizzes over the course of this class taking place every third week. The three best quiz grades will be used to determine your final grade. If you miss one quiz, the three remaining quizzes will automatically be used to determine your final grade. No makeup quizzes will be administered except in the situation where you missed one quiz and have to miss a second one for a medical emergency, religious observation or legal obligation.</w:t>
      </w:r>
    </w:p>
    <w:p w14:paraId="3F3E8674"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5CB8E628" w14:textId="502A2EDF"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Make up exam</w:t>
      </w:r>
      <w:r w:rsidRPr="000075B1">
        <w:rPr>
          <w:rFonts w:ascii="Times New Roman" w:hAnsi="Times New Roman" w:cs="Times New Roman"/>
          <w:sz w:val="24"/>
          <w:szCs w:val="24"/>
        </w:rPr>
        <w:t xml:space="preserve">: </w:t>
      </w:r>
      <w:r w:rsidR="00011621" w:rsidRPr="000075B1">
        <w:rPr>
          <w:rFonts w:ascii="Times New Roman" w:hAnsi="Times New Roman" w:cs="Times New Roman"/>
          <w:sz w:val="24"/>
          <w:szCs w:val="24"/>
        </w:rPr>
        <w:t>the final exam for this class is tentatively scheduled for Wednesday 4/2</w:t>
      </w:r>
      <w:r w:rsidR="000075B1">
        <w:rPr>
          <w:rFonts w:ascii="Times New Roman" w:hAnsi="Times New Roman" w:cs="Times New Roman"/>
          <w:sz w:val="24"/>
          <w:szCs w:val="24"/>
        </w:rPr>
        <w:t>3</w:t>
      </w:r>
      <w:r w:rsidR="00011621" w:rsidRPr="000075B1">
        <w:rPr>
          <w:rFonts w:ascii="Times New Roman" w:hAnsi="Times New Roman" w:cs="Times New Roman"/>
          <w:sz w:val="24"/>
          <w:szCs w:val="24"/>
        </w:rPr>
        <w:t>. You should do your best to be present for the exam. DO NOT make any travel plans and make sure to arrange for time off from work if necessary</w:t>
      </w:r>
      <w:r w:rsidRPr="000075B1">
        <w:rPr>
          <w:rFonts w:ascii="Times New Roman" w:hAnsi="Times New Roman" w:cs="Times New Roman"/>
          <w:sz w:val="24"/>
          <w:szCs w:val="24"/>
        </w:rPr>
        <w:t>. If you miss the final, you will fail this class. A makeup exam may be offered in case of scheduling conflicts with other classes, health emergencies and religious or civic obligations (jury duty, court appearances etc.).  If you cannot make it for the final for any of the approved reasons, make sure to email me no later than TWO days prior to the exam to work out an alternative.</w:t>
      </w:r>
    </w:p>
    <w:p w14:paraId="3C627A74"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w:t>
      </w:r>
    </w:p>
    <w:p w14:paraId="29007987"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xml:space="preserve">Accessibility and Accommodations: </w:t>
      </w:r>
      <w:r w:rsidRPr="000075B1">
        <w:rPr>
          <w:rFonts w:ascii="Times New Roman" w:hAnsi="Times New Roman" w:cs="Times New Roman"/>
          <w:sz w:val="24"/>
          <w:szCs w:val="24"/>
        </w:rPr>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 For additional assistance please visit FIU's Disability Resource Center (</w:t>
      </w:r>
      <w:hyperlink r:id="rId4" w:history="1">
        <w:r w:rsidRPr="000075B1">
          <w:rPr>
            <w:rStyle w:val="Hyperlink"/>
            <w:rFonts w:ascii="Times New Roman" w:hAnsi="Times New Roman" w:cs="Times New Roman"/>
            <w:sz w:val="24"/>
            <w:szCs w:val="24"/>
          </w:rPr>
          <w:t>https://studentaffairs.fiu.edu/get-support/disability-resource-center/</w:t>
        </w:r>
      </w:hyperlink>
      <w:r w:rsidRPr="000075B1">
        <w:rPr>
          <w:rFonts w:ascii="Times New Roman" w:hAnsi="Times New Roman" w:cs="Times New Roman"/>
          <w:sz w:val="24"/>
          <w:szCs w:val="24"/>
        </w:rPr>
        <w:t>)</w:t>
      </w:r>
    </w:p>
    <w:p w14:paraId="1242EB2A"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w:t>
      </w:r>
    </w:p>
    <w:p w14:paraId="2C4469CC"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 xml:space="preserve">Academic Misconduct: </w:t>
      </w:r>
      <w:r w:rsidRPr="000075B1">
        <w:rPr>
          <w:rFonts w:ascii="Times New Roman" w:hAnsi="Times New Roman" w:cs="Times New Roman"/>
          <w:sz w:val="24"/>
          <w:szCs w:val="24"/>
        </w:rPr>
        <w:t xml:space="preserve">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which </w:t>
      </w:r>
      <w:r w:rsidRPr="000075B1">
        <w:rPr>
          <w:rFonts w:ascii="Times New Roman" w:hAnsi="Times New Roman" w:cs="Times New Roman"/>
          <w:sz w:val="24"/>
          <w:szCs w:val="24"/>
        </w:rPr>
        <w:lastRenderedPageBreak/>
        <w:t>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p>
    <w:p w14:paraId="579B9225"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064289E2"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xml:space="preserve">Academic Misconduct includes: </w:t>
      </w:r>
      <w:r w:rsidRPr="000075B1">
        <w:rPr>
          <w:rFonts w:ascii="Times New Roman" w:hAnsi="Times New Roman" w:cs="Times New Roman"/>
          <w:b/>
          <w:bCs/>
          <w:sz w:val="24"/>
          <w:szCs w:val="24"/>
        </w:rPr>
        <w:t>Cheating</w:t>
      </w:r>
      <w:r w:rsidRPr="000075B1">
        <w:rPr>
          <w:rFonts w:ascii="Times New Roman" w:hAnsi="Times New Roman" w:cs="Times New Roman"/>
          <w:sz w:val="24"/>
          <w:szCs w:val="24"/>
        </w:rPr>
        <w:t xml:space="preserve">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w:t>
      </w:r>
    </w:p>
    <w:p w14:paraId="41B060EB"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2682EB98"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b/>
          <w:bCs/>
          <w:sz w:val="24"/>
          <w:szCs w:val="24"/>
        </w:rPr>
        <w:t>Top Hat</w:t>
      </w:r>
    </w:p>
    <w:p w14:paraId="0794DFFE" w14:textId="4D006958"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We will be using Top Hat (</w:t>
      </w:r>
      <w:hyperlink r:id="rId5" w:history="1">
        <w:r w:rsidRPr="000075B1">
          <w:rPr>
            <w:rStyle w:val="Hyperlink"/>
            <w:rFonts w:ascii="Times New Roman" w:hAnsi="Times New Roman" w:cs="Times New Roman"/>
            <w:sz w:val="24"/>
            <w:szCs w:val="24"/>
          </w:rPr>
          <w:t>https://tophat.com</w:t>
        </w:r>
      </w:hyperlink>
      <w:r w:rsidRPr="000075B1">
        <w:rPr>
          <w:rFonts w:ascii="Times New Roman" w:hAnsi="Times New Roman" w:cs="Times New Roman"/>
          <w:sz w:val="24"/>
          <w:szCs w:val="24"/>
        </w:rPr>
        <w:t>) for class participation and attendance. You will submit answers to in-class questions using either an Apple or Android smartphone, tablet or computer web browser (Google Chrome or Firefox).</w:t>
      </w:r>
      <w:r w:rsidRPr="000075B1">
        <w:rPr>
          <w:rFonts w:ascii="Times New Roman" w:hAnsi="Times New Roman" w:cs="Times New Roman"/>
          <w:sz w:val="24"/>
          <w:szCs w:val="24"/>
        </w:rPr>
        <w:br/>
      </w:r>
      <w:r w:rsidRPr="000075B1">
        <w:rPr>
          <w:rFonts w:ascii="Times New Roman" w:hAnsi="Times New Roman" w:cs="Times New Roman"/>
          <w:sz w:val="24"/>
          <w:szCs w:val="24"/>
        </w:rPr>
        <w:br/>
        <w:t>For instructions on how to download the Top Hat app, please refer to the Top Hat's Getting Started Guide.</w:t>
      </w:r>
      <w:r w:rsidRPr="000075B1">
        <w:rPr>
          <w:rFonts w:ascii="Times New Roman" w:hAnsi="Times New Roman" w:cs="Times New Roman"/>
          <w:sz w:val="24"/>
          <w:szCs w:val="24"/>
        </w:rPr>
        <w:br/>
      </w:r>
      <w:r w:rsidRPr="000075B1">
        <w:rPr>
          <w:rFonts w:ascii="Times New Roman" w:hAnsi="Times New Roman" w:cs="Times New Roman"/>
          <w:sz w:val="24"/>
          <w:szCs w:val="24"/>
        </w:rPr>
        <w:br/>
      </w:r>
      <w:r w:rsidRPr="000075B1">
        <w:rPr>
          <w:rFonts w:ascii="Times New Roman" w:hAnsi="Times New Roman" w:cs="Times New Roman"/>
          <w:b/>
          <w:bCs/>
          <w:sz w:val="24"/>
          <w:szCs w:val="24"/>
        </w:rPr>
        <w:t>Creating your Top Hat Account / Logging In</w:t>
      </w:r>
      <w:r w:rsidRPr="000075B1">
        <w:rPr>
          <w:rFonts w:ascii="Times New Roman" w:hAnsi="Times New Roman" w:cs="Times New Roman"/>
          <w:sz w:val="24"/>
          <w:szCs w:val="24"/>
        </w:rPr>
        <w:br/>
      </w:r>
      <w:r w:rsidRPr="000075B1">
        <w:rPr>
          <w:rFonts w:ascii="Times New Roman" w:hAnsi="Times New Roman" w:cs="Times New Roman"/>
          <w:sz w:val="24"/>
          <w:szCs w:val="24"/>
        </w:rPr>
        <w:br/>
        <w:t>If you already have a Top Hat account, go to the course within Canvas and click on the Top Hat Link on the left-side navigation. If you are new to Top Hat, you will be prompted to create an account once you click on any launch or deep link for Top Hat.</w:t>
      </w:r>
      <w:r w:rsidRPr="000075B1">
        <w:rPr>
          <w:rFonts w:ascii="Times New Roman" w:hAnsi="Times New Roman" w:cs="Times New Roman"/>
          <w:sz w:val="24"/>
          <w:szCs w:val="24"/>
        </w:rPr>
        <w:br/>
      </w:r>
      <w:r w:rsidRPr="000075B1">
        <w:rPr>
          <w:rFonts w:ascii="Times New Roman" w:hAnsi="Times New Roman" w:cs="Times New Roman"/>
          <w:b/>
          <w:bCs/>
          <w:sz w:val="24"/>
          <w:szCs w:val="24"/>
        </w:rPr>
        <w:t>If you do not click the launch link, then you will be removed from the course roster every night when the sync happens.</w:t>
      </w:r>
      <w:r w:rsidRPr="000075B1">
        <w:rPr>
          <w:rFonts w:ascii="Times New Roman" w:hAnsi="Times New Roman" w:cs="Times New Roman"/>
          <w:sz w:val="24"/>
          <w:szCs w:val="24"/>
        </w:rPr>
        <w:t xml:space="preserve"> In this case, you simply need to access Top Hat using the Top Hat link in Canvas. If you completed any assignments using a Top Hat account with the same email address as the email address you use to log into Canvas, then your answers and grades will be restored.</w:t>
      </w:r>
      <w:r w:rsidRPr="000075B1">
        <w:rPr>
          <w:rFonts w:ascii="Times New Roman" w:hAnsi="Times New Roman" w:cs="Times New Roman"/>
          <w:sz w:val="24"/>
          <w:szCs w:val="24"/>
        </w:rPr>
        <w:br/>
      </w:r>
      <w:r w:rsidRPr="000075B1">
        <w:rPr>
          <w:rFonts w:ascii="Times New Roman" w:hAnsi="Times New Roman" w:cs="Times New Roman"/>
          <w:sz w:val="24"/>
          <w:szCs w:val="24"/>
        </w:rPr>
        <w:br/>
      </w:r>
      <w:r w:rsidRPr="000075B1">
        <w:rPr>
          <w:rFonts w:ascii="Times New Roman" w:hAnsi="Times New Roman" w:cs="Times New Roman"/>
          <w:b/>
          <w:bCs/>
          <w:sz w:val="24"/>
          <w:szCs w:val="24"/>
        </w:rPr>
        <w:t>Required Course Materials</w:t>
      </w:r>
      <w:r w:rsidRPr="000075B1">
        <w:rPr>
          <w:rFonts w:ascii="Times New Roman" w:hAnsi="Times New Roman" w:cs="Times New Roman"/>
          <w:sz w:val="24"/>
          <w:szCs w:val="24"/>
        </w:rPr>
        <w:br/>
      </w:r>
      <w:r w:rsidRPr="000075B1">
        <w:rPr>
          <w:rFonts w:ascii="Times New Roman" w:hAnsi="Times New Roman" w:cs="Times New Roman"/>
          <w:sz w:val="24"/>
          <w:szCs w:val="24"/>
        </w:rPr>
        <w:br/>
        <w:t>Top Hat course materials are required for this course. If you decide to stay opted-into the Panther Bookpack, the materials will cost $60, if you decide to opt-out, the textbook materials will cost $78.50.</w:t>
      </w:r>
    </w:p>
    <w:p w14:paraId="7561C878" w14:textId="77777777" w:rsidR="00AE5B12" w:rsidRPr="000075B1" w:rsidRDefault="00AE5B12" w:rsidP="00AE5B12">
      <w:pPr>
        <w:spacing w:after="0"/>
        <w:rPr>
          <w:rFonts w:ascii="Times New Roman" w:hAnsi="Times New Roman" w:cs="Times New Roman"/>
          <w:sz w:val="24"/>
          <w:szCs w:val="24"/>
        </w:rPr>
      </w:pPr>
      <w:r w:rsidRPr="000075B1">
        <w:rPr>
          <w:rFonts w:ascii="Times New Roman" w:hAnsi="Times New Roman" w:cs="Times New Roman"/>
          <w:sz w:val="24"/>
          <w:szCs w:val="24"/>
        </w:rPr>
        <w:t> </w:t>
      </w:r>
    </w:p>
    <w:p w14:paraId="6DB528DD" w14:textId="77777777" w:rsidR="00011621" w:rsidRPr="000075B1" w:rsidRDefault="00011621" w:rsidP="00AE5B12">
      <w:pPr>
        <w:spacing w:after="0"/>
        <w:rPr>
          <w:rFonts w:ascii="Times New Roman" w:hAnsi="Times New Roman" w:cs="Times New Roman"/>
          <w:sz w:val="24"/>
          <w:szCs w:val="24"/>
        </w:rPr>
      </w:pPr>
    </w:p>
    <w:p w14:paraId="0DB4142D" w14:textId="77777777" w:rsidR="00011621" w:rsidRPr="000075B1" w:rsidRDefault="00011621" w:rsidP="00AE5B12">
      <w:pPr>
        <w:spacing w:after="0"/>
        <w:rPr>
          <w:rFonts w:ascii="Times New Roman" w:hAnsi="Times New Roman" w:cs="Times New Roman"/>
          <w:sz w:val="24"/>
          <w:szCs w:val="24"/>
        </w:rPr>
      </w:pPr>
    </w:p>
    <w:p w14:paraId="774978E1" w14:textId="77777777" w:rsidR="00011621" w:rsidRPr="000075B1" w:rsidRDefault="00011621" w:rsidP="00AE5B12">
      <w:pPr>
        <w:spacing w:after="0"/>
        <w:rPr>
          <w:rFonts w:ascii="Times New Roman" w:hAnsi="Times New Roman" w:cs="Times New Roman"/>
          <w:sz w:val="24"/>
          <w:szCs w:val="24"/>
        </w:rPr>
      </w:pPr>
    </w:p>
    <w:p w14:paraId="56CBD731" w14:textId="77777777" w:rsidR="00011621" w:rsidRPr="000075B1" w:rsidRDefault="00011621" w:rsidP="00AE5B12">
      <w:pPr>
        <w:spacing w:after="0"/>
        <w:rPr>
          <w:rFonts w:ascii="Times New Roman" w:hAnsi="Times New Roman" w:cs="Times New Roman"/>
          <w:sz w:val="24"/>
          <w:szCs w:val="24"/>
        </w:rPr>
      </w:pPr>
    </w:p>
    <w:p w14:paraId="013F7672" w14:textId="77777777" w:rsidR="00011621" w:rsidRPr="000075B1" w:rsidRDefault="00011621" w:rsidP="00AE5B12">
      <w:pPr>
        <w:spacing w:after="0"/>
        <w:rPr>
          <w:rFonts w:ascii="Times New Roman" w:hAnsi="Times New Roman" w:cs="Times New Roman"/>
          <w:sz w:val="24"/>
          <w:szCs w:val="24"/>
        </w:rPr>
      </w:pPr>
    </w:p>
    <w:p w14:paraId="421D8DEC" w14:textId="77777777" w:rsidR="00011621" w:rsidRPr="000075B1" w:rsidRDefault="00011621" w:rsidP="00AE5B12">
      <w:pPr>
        <w:spacing w:after="0"/>
        <w:rPr>
          <w:rFonts w:ascii="Times New Roman" w:hAnsi="Times New Roman" w:cs="Times New Roman"/>
          <w:sz w:val="24"/>
          <w:szCs w:val="24"/>
        </w:rPr>
      </w:pPr>
    </w:p>
    <w:p w14:paraId="0E8866D3" w14:textId="77777777" w:rsidR="00011621" w:rsidRPr="000075B1" w:rsidRDefault="00011621" w:rsidP="00AE5B12">
      <w:pPr>
        <w:spacing w:after="0"/>
        <w:rPr>
          <w:rFonts w:ascii="Times New Roman" w:hAnsi="Times New Roman" w:cs="Times New Roman"/>
          <w:sz w:val="24"/>
          <w:szCs w:val="24"/>
        </w:rPr>
      </w:pPr>
    </w:p>
    <w:p w14:paraId="42FD4ED7" w14:textId="77777777" w:rsidR="00011621" w:rsidRPr="000075B1" w:rsidRDefault="00011621" w:rsidP="00AE5B12">
      <w:pPr>
        <w:spacing w:after="0"/>
        <w:rPr>
          <w:rFonts w:ascii="Times New Roman" w:hAnsi="Times New Roman" w:cs="Times New Roman"/>
          <w:sz w:val="24"/>
          <w:szCs w:val="24"/>
        </w:rPr>
      </w:pPr>
    </w:p>
    <w:p w14:paraId="68B56516" w14:textId="77777777" w:rsidR="00011621" w:rsidRPr="000075B1" w:rsidRDefault="00011621" w:rsidP="00011621">
      <w:pPr>
        <w:pStyle w:val="NormalWeb"/>
        <w:spacing w:before="0" w:beforeAutospacing="0" w:after="0" w:afterAutospacing="0"/>
      </w:pPr>
      <w:r w:rsidRPr="000075B1">
        <w:rPr>
          <w:rStyle w:val="Strong"/>
          <w:rFonts w:eastAsiaTheme="majorEastAsia"/>
        </w:rPr>
        <w:lastRenderedPageBreak/>
        <w:t xml:space="preserve"> Course Progression </w:t>
      </w:r>
    </w:p>
    <w:tbl>
      <w:tblPr>
        <w:tblStyle w:val="TableGrid"/>
        <w:tblW w:w="5000" w:type="pct"/>
        <w:tblLook w:val="04A0" w:firstRow="1" w:lastRow="0" w:firstColumn="1" w:lastColumn="0" w:noHBand="0" w:noVBand="1"/>
      </w:tblPr>
      <w:tblGrid>
        <w:gridCol w:w="1294"/>
        <w:gridCol w:w="8056"/>
      </w:tblGrid>
      <w:tr w:rsidR="00011621" w:rsidRPr="000075B1" w14:paraId="7E68F2D5" w14:textId="77777777" w:rsidTr="00F33432">
        <w:tc>
          <w:tcPr>
            <w:tcW w:w="1260" w:type="dxa"/>
            <w:hideMark/>
          </w:tcPr>
          <w:p w14:paraId="11F3FEC5" w14:textId="77777777" w:rsidR="00011621" w:rsidRPr="000075B1" w:rsidRDefault="00011621" w:rsidP="00F33432">
            <w:pPr>
              <w:pStyle w:val="NormalWeb"/>
              <w:spacing w:before="0" w:beforeAutospacing="0" w:after="0" w:afterAutospacing="0"/>
            </w:pPr>
            <w:r w:rsidRPr="000075B1">
              <w:t>Module</w:t>
            </w:r>
          </w:p>
        </w:tc>
        <w:tc>
          <w:tcPr>
            <w:tcW w:w="7845" w:type="dxa"/>
            <w:hideMark/>
          </w:tcPr>
          <w:p w14:paraId="5881961E" w14:textId="77777777" w:rsidR="00011621" w:rsidRPr="000075B1" w:rsidRDefault="00011621" w:rsidP="00F33432">
            <w:pPr>
              <w:pStyle w:val="NormalWeb"/>
              <w:spacing w:before="0" w:beforeAutospacing="0" w:after="0" w:afterAutospacing="0"/>
            </w:pPr>
            <w:r w:rsidRPr="000075B1">
              <w:t>Assigned Readings</w:t>
            </w:r>
          </w:p>
        </w:tc>
      </w:tr>
      <w:tr w:rsidR="00011621" w:rsidRPr="000075B1" w14:paraId="14538F44" w14:textId="77777777" w:rsidTr="00F33432">
        <w:tc>
          <w:tcPr>
            <w:tcW w:w="1260" w:type="dxa"/>
            <w:hideMark/>
          </w:tcPr>
          <w:p w14:paraId="1B38D1D6" w14:textId="77777777" w:rsidR="00011621" w:rsidRPr="000075B1" w:rsidRDefault="00011621" w:rsidP="00F33432">
            <w:pPr>
              <w:pStyle w:val="NormalWeb"/>
              <w:spacing w:before="0" w:beforeAutospacing="0" w:after="0" w:afterAutospacing="0"/>
            </w:pPr>
            <w:r w:rsidRPr="000075B1">
              <w:t>Module 1</w:t>
            </w:r>
          </w:p>
        </w:tc>
        <w:tc>
          <w:tcPr>
            <w:tcW w:w="7845" w:type="dxa"/>
            <w:hideMark/>
          </w:tcPr>
          <w:p w14:paraId="6DD6CD57" w14:textId="72A5D886" w:rsidR="00011621" w:rsidRPr="000075B1" w:rsidRDefault="00011621" w:rsidP="00F33432">
            <w:pPr>
              <w:pStyle w:val="NormalWeb"/>
              <w:spacing w:before="0" w:beforeAutospacing="0" w:after="0" w:afterAutospacing="0"/>
            </w:pPr>
            <w:r w:rsidRPr="000075B1">
              <w:t>Chapter 1: Introduction to Economic Analysis</w:t>
            </w:r>
          </w:p>
          <w:p w14:paraId="64907133" w14:textId="54B298BD" w:rsidR="00011621" w:rsidRPr="000075B1" w:rsidRDefault="00011621" w:rsidP="00F33432">
            <w:pPr>
              <w:pStyle w:val="NormalWeb"/>
              <w:spacing w:before="0" w:beforeAutospacing="0" w:after="0" w:afterAutospacing="0"/>
            </w:pPr>
            <w:r w:rsidRPr="000075B1">
              <w:t>Chapter 2: An Economic Model</w:t>
            </w:r>
          </w:p>
        </w:tc>
      </w:tr>
      <w:tr w:rsidR="00011621" w:rsidRPr="000075B1" w14:paraId="5947EC54" w14:textId="77777777" w:rsidTr="00F33432">
        <w:tc>
          <w:tcPr>
            <w:tcW w:w="1260" w:type="dxa"/>
            <w:hideMark/>
          </w:tcPr>
          <w:p w14:paraId="64ABE018" w14:textId="77777777" w:rsidR="00011621" w:rsidRPr="000075B1" w:rsidRDefault="00011621" w:rsidP="00F33432">
            <w:pPr>
              <w:pStyle w:val="NormalWeb"/>
              <w:spacing w:before="0" w:beforeAutospacing="0" w:after="0" w:afterAutospacing="0"/>
            </w:pPr>
            <w:r w:rsidRPr="000075B1">
              <w:t>Module 2</w:t>
            </w:r>
          </w:p>
        </w:tc>
        <w:tc>
          <w:tcPr>
            <w:tcW w:w="7845" w:type="dxa"/>
            <w:hideMark/>
          </w:tcPr>
          <w:p w14:paraId="30C0E1FF" w14:textId="2529691D" w:rsidR="00011621" w:rsidRPr="000075B1" w:rsidRDefault="00011621" w:rsidP="00F33432">
            <w:pPr>
              <w:pStyle w:val="NormalWeb"/>
              <w:spacing w:before="0" w:beforeAutospacing="0" w:after="0" w:afterAutospacing="0"/>
            </w:pPr>
            <w:r w:rsidRPr="000075B1">
              <w:t>Chapter 4: Demand, Supply and Markets</w:t>
            </w:r>
          </w:p>
          <w:p w14:paraId="55B69A3D" w14:textId="5FB84FAC" w:rsidR="00011621" w:rsidRPr="000075B1" w:rsidRDefault="00011621" w:rsidP="00F33432">
            <w:pPr>
              <w:pStyle w:val="NormalWeb"/>
              <w:spacing w:before="0" w:beforeAutospacing="0" w:after="0" w:afterAutospacing="0"/>
            </w:pPr>
            <w:r w:rsidRPr="000075B1">
              <w:t>Chapter 5: Using Demand and Supply</w:t>
            </w:r>
          </w:p>
        </w:tc>
      </w:tr>
      <w:tr w:rsidR="00011621" w:rsidRPr="000075B1" w14:paraId="30D6059F" w14:textId="77777777" w:rsidTr="00F33432">
        <w:tc>
          <w:tcPr>
            <w:tcW w:w="1260" w:type="dxa"/>
            <w:hideMark/>
          </w:tcPr>
          <w:p w14:paraId="37422802" w14:textId="77777777" w:rsidR="00011621" w:rsidRPr="000075B1" w:rsidRDefault="00011621" w:rsidP="00F33432">
            <w:pPr>
              <w:pStyle w:val="NormalWeb"/>
              <w:spacing w:before="0" w:beforeAutospacing="0" w:after="0" w:afterAutospacing="0"/>
            </w:pPr>
            <w:r w:rsidRPr="000075B1">
              <w:t>Module 3</w:t>
            </w:r>
          </w:p>
        </w:tc>
        <w:tc>
          <w:tcPr>
            <w:tcW w:w="7845" w:type="dxa"/>
            <w:hideMark/>
          </w:tcPr>
          <w:p w14:paraId="28EE9943" w14:textId="77777777" w:rsidR="00011621" w:rsidRPr="000075B1" w:rsidRDefault="00011621" w:rsidP="00F33432">
            <w:pPr>
              <w:pStyle w:val="NormalWeb"/>
              <w:spacing w:before="0" w:beforeAutospacing="0" w:after="0" w:afterAutospacing="0"/>
            </w:pPr>
            <w:r w:rsidRPr="000075B1">
              <w:t>Chapter 6: Behind Demand</w:t>
            </w:r>
          </w:p>
          <w:p w14:paraId="4B78AFCE" w14:textId="77777777" w:rsidR="00011621" w:rsidRDefault="00011621" w:rsidP="00F33432">
            <w:pPr>
              <w:pStyle w:val="NormalWeb"/>
              <w:spacing w:before="0" w:beforeAutospacing="0" w:after="0" w:afterAutospacing="0"/>
            </w:pPr>
            <w:r w:rsidRPr="000075B1">
              <w:t>Chapter 7: Behind Supply</w:t>
            </w:r>
          </w:p>
          <w:p w14:paraId="767991A9" w14:textId="63FC55A1" w:rsidR="00247AA2" w:rsidRPr="000075B1" w:rsidRDefault="00247AA2" w:rsidP="00F33432">
            <w:pPr>
              <w:pStyle w:val="NormalWeb"/>
              <w:spacing w:before="0" w:beforeAutospacing="0" w:after="0" w:afterAutospacing="0"/>
            </w:pPr>
            <w:r w:rsidRPr="000075B1">
              <w:t>Chapter 8: Inputs, Production and Costs in the Long Run</w:t>
            </w:r>
          </w:p>
        </w:tc>
      </w:tr>
      <w:tr w:rsidR="00011621" w:rsidRPr="000075B1" w14:paraId="61A7DC2A" w14:textId="77777777" w:rsidTr="00F33432">
        <w:tc>
          <w:tcPr>
            <w:tcW w:w="1260" w:type="dxa"/>
            <w:hideMark/>
          </w:tcPr>
          <w:p w14:paraId="1DA26487" w14:textId="77777777" w:rsidR="00011621" w:rsidRPr="000075B1" w:rsidRDefault="00011621" w:rsidP="00F33432">
            <w:pPr>
              <w:pStyle w:val="NormalWeb"/>
              <w:spacing w:before="0" w:beforeAutospacing="0" w:after="0" w:afterAutospacing="0"/>
            </w:pPr>
            <w:r w:rsidRPr="000075B1">
              <w:t>Module 4</w:t>
            </w:r>
          </w:p>
        </w:tc>
        <w:tc>
          <w:tcPr>
            <w:tcW w:w="7845" w:type="dxa"/>
            <w:hideMark/>
          </w:tcPr>
          <w:p w14:paraId="210FB3D7" w14:textId="292C7CC0" w:rsidR="00011621" w:rsidRPr="000075B1" w:rsidRDefault="00011621" w:rsidP="00F33432">
            <w:pPr>
              <w:pStyle w:val="NormalWeb"/>
              <w:spacing w:before="0" w:beforeAutospacing="0" w:after="0" w:afterAutospacing="0"/>
            </w:pPr>
            <w:r w:rsidRPr="000075B1">
              <w:t>Chapter 9: Competitive Markets</w:t>
            </w:r>
          </w:p>
          <w:p w14:paraId="7272FE1E" w14:textId="77777777" w:rsidR="00011621" w:rsidRPr="000075B1" w:rsidRDefault="00011621" w:rsidP="00F33432">
            <w:pPr>
              <w:pStyle w:val="NormalWeb"/>
              <w:spacing w:before="0" w:beforeAutospacing="0" w:after="0" w:afterAutospacing="0"/>
            </w:pPr>
            <w:r w:rsidRPr="000075B1">
              <w:t>Chapter 10: Monopoly</w:t>
            </w:r>
          </w:p>
          <w:p w14:paraId="408BBBE3" w14:textId="53965D75" w:rsidR="00011621" w:rsidRPr="000075B1" w:rsidRDefault="00011621" w:rsidP="00F33432">
            <w:pPr>
              <w:pStyle w:val="NormalWeb"/>
              <w:spacing w:before="0" w:beforeAutospacing="0" w:after="0" w:afterAutospacing="0"/>
            </w:pPr>
            <w:r w:rsidRPr="000075B1">
              <w:t>Chapter 11: Between Perfect competition and Monopoly</w:t>
            </w:r>
          </w:p>
          <w:p w14:paraId="4BB3B806" w14:textId="2B94FBEE" w:rsidR="00011621" w:rsidRPr="000075B1" w:rsidRDefault="00011621" w:rsidP="00F33432">
            <w:pPr>
              <w:pStyle w:val="NormalWeb"/>
              <w:spacing w:before="0" w:beforeAutospacing="0" w:after="0" w:afterAutospacing="0"/>
            </w:pPr>
            <w:r w:rsidRPr="000075B1">
              <w:t>Chapter 12: Regulation of Firms with Market Power</w:t>
            </w:r>
          </w:p>
          <w:p w14:paraId="21EAB3DB" w14:textId="77777777" w:rsidR="00011621" w:rsidRPr="000075B1" w:rsidRDefault="00011621" w:rsidP="00F33432">
            <w:pPr>
              <w:pStyle w:val="NormalWeb"/>
              <w:spacing w:before="0" w:beforeAutospacing="0" w:after="0" w:afterAutospacing="0"/>
            </w:pPr>
            <w:r w:rsidRPr="000075B1">
              <w:t xml:space="preserve">Chapter 13: </w:t>
            </w:r>
            <w:r w:rsidR="000075B1" w:rsidRPr="000075B1">
              <w:t>The Economic Role of Government</w:t>
            </w:r>
            <w:r w:rsidRPr="000075B1">
              <w:t>*</w:t>
            </w:r>
          </w:p>
          <w:p w14:paraId="48A79FBC" w14:textId="1F8DD633" w:rsidR="000075B1" w:rsidRPr="000075B1" w:rsidRDefault="000075B1" w:rsidP="00F33432">
            <w:pPr>
              <w:pStyle w:val="NormalWeb"/>
              <w:spacing w:before="0" w:beforeAutospacing="0" w:after="0" w:afterAutospacing="0"/>
            </w:pPr>
            <w:r w:rsidRPr="000075B1">
              <w:t>Chapter 14: Market</w:t>
            </w:r>
            <w:r w:rsidR="00AD707E">
              <w:t>s</w:t>
            </w:r>
            <w:r w:rsidRPr="000075B1">
              <w:t xml:space="preserve"> for Labor*</w:t>
            </w:r>
          </w:p>
        </w:tc>
      </w:tr>
    </w:tbl>
    <w:p w14:paraId="5345F0DA" w14:textId="77777777" w:rsidR="00BB2CA6" w:rsidRPr="000075B1" w:rsidRDefault="00BB2CA6" w:rsidP="00AE5B12">
      <w:pPr>
        <w:spacing w:after="0"/>
        <w:rPr>
          <w:rFonts w:ascii="Times New Roman" w:hAnsi="Times New Roman" w:cs="Times New Roman"/>
          <w:sz w:val="24"/>
          <w:szCs w:val="24"/>
        </w:rPr>
      </w:pPr>
    </w:p>
    <w:sectPr w:rsidR="00BB2CA6" w:rsidRPr="0000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12"/>
    <w:rsid w:val="000075B1"/>
    <w:rsid w:val="00011621"/>
    <w:rsid w:val="000412F6"/>
    <w:rsid w:val="00247AA2"/>
    <w:rsid w:val="007E0506"/>
    <w:rsid w:val="007F5162"/>
    <w:rsid w:val="00801FD1"/>
    <w:rsid w:val="00AD707E"/>
    <w:rsid w:val="00AE5B12"/>
    <w:rsid w:val="00B741C3"/>
    <w:rsid w:val="00BB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9137"/>
  <w15:chartTrackingRefBased/>
  <w15:docId w15:val="{949C84B7-504A-46D6-B3D3-5D3CF12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B12"/>
    <w:rPr>
      <w:rFonts w:eastAsiaTheme="majorEastAsia" w:cstheme="majorBidi"/>
      <w:color w:val="272727" w:themeColor="text1" w:themeTint="D8"/>
    </w:rPr>
  </w:style>
  <w:style w:type="paragraph" w:styleId="Title">
    <w:name w:val="Title"/>
    <w:basedOn w:val="Normal"/>
    <w:next w:val="Normal"/>
    <w:link w:val="TitleChar"/>
    <w:uiPriority w:val="10"/>
    <w:qFormat/>
    <w:rsid w:val="00AE5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B12"/>
    <w:pPr>
      <w:spacing w:before="160"/>
      <w:jc w:val="center"/>
    </w:pPr>
    <w:rPr>
      <w:i/>
      <w:iCs/>
      <w:color w:val="404040" w:themeColor="text1" w:themeTint="BF"/>
    </w:rPr>
  </w:style>
  <w:style w:type="character" w:customStyle="1" w:styleId="QuoteChar">
    <w:name w:val="Quote Char"/>
    <w:basedOn w:val="DefaultParagraphFont"/>
    <w:link w:val="Quote"/>
    <w:uiPriority w:val="29"/>
    <w:rsid w:val="00AE5B12"/>
    <w:rPr>
      <w:i/>
      <w:iCs/>
      <w:color w:val="404040" w:themeColor="text1" w:themeTint="BF"/>
    </w:rPr>
  </w:style>
  <w:style w:type="paragraph" w:styleId="ListParagraph">
    <w:name w:val="List Paragraph"/>
    <w:basedOn w:val="Normal"/>
    <w:uiPriority w:val="34"/>
    <w:qFormat/>
    <w:rsid w:val="00AE5B12"/>
    <w:pPr>
      <w:ind w:left="720"/>
      <w:contextualSpacing/>
    </w:pPr>
  </w:style>
  <w:style w:type="character" w:styleId="IntenseEmphasis">
    <w:name w:val="Intense Emphasis"/>
    <w:basedOn w:val="DefaultParagraphFont"/>
    <w:uiPriority w:val="21"/>
    <w:qFormat/>
    <w:rsid w:val="00AE5B12"/>
    <w:rPr>
      <w:i/>
      <w:iCs/>
      <w:color w:val="0F4761" w:themeColor="accent1" w:themeShade="BF"/>
    </w:rPr>
  </w:style>
  <w:style w:type="paragraph" w:styleId="IntenseQuote">
    <w:name w:val="Intense Quote"/>
    <w:basedOn w:val="Normal"/>
    <w:next w:val="Normal"/>
    <w:link w:val="IntenseQuoteChar"/>
    <w:uiPriority w:val="30"/>
    <w:qFormat/>
    <w:rsid w:val="00AE5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B12"/>
    <w:rPr>
      <w:i/>
      <w:iCs/>
      <w:color w:val="0F4761" w:themeColor="accent1" w:themeShade="BF"/>
    </w:rPr>
  </w:style>
  <w:style w:type="character" w:styleId="IntenseReference">
    <w:name w:val="Intense Reference"/>
    <w:basedOn w:val="DefaultParagraphFont"/>
    <w:uiPriority w:val="32"/>
    <w:qFormat/>
    <w:rsid w:val="00AE5B12"/>
    <w:rPr>
      <w:b/>
      <w:bCs/>
      <w:smallCaps/>
      <w:color w:val="0F4761" w:themeColor="accent1" w:themeShade="BF"/>
      <w:spacing w:val="5"/>
    </w:rPr>
  </w:style>
  <w:style w:type="character" w:styleId="Hyperlink">
    <w:name w:val="Hyperlink"/>
    <w:basedOn w:val="DefaultParagraphFont"/>
    <w:uiPriority w:val="99"/>
    <w:unhideWhenUsed/>
    <w:rsid w:val="00AE5B12"/>
    <w:rPr>
      <w:color w:val="467886" w:themeColor="hyperlink"/>
      <w:u w:val="single"/>
    </w:rPr>
  </w:style>
  <w:style w:type="character" w:styleId="UnresolvedMention">
    <w:name w:val="Unresolved Mention"/>
    <w:basedOn w:val="DefaultParagraphFont"/>
    <w:uiPriority w:val="99"/>
    <w:semiHidden/>
    <w:unhideWhenUsed/>
    <w:rsid w:val="00AE5B12"/>
    <w:rPr>
      <w:color w:val="605E5C"/>
      <w:shd w:val="clear" w:color="auto" w:fill="E1DFDD"/>
    </w:rPr>
  </w:style>
  <w:style w:type="paragraph" w:styleId="NormalWeb">
    <w:name w:val="Normal (Web)"/>
    <w:basedOn w:val="Normal"/>
    <w:uiPriority w:val="99"/>
    <w:unhideWhenUsed/>
    <w:rsid w:val="000116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0116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357454">
      <w:bodyDiv w:val="1"/>
      <w:marLeft w:val="0"/>
      <w:marRight w:val="0"/>
      <w:marTop w:val="0"/>
      <w:marBottom w:val="0"/>
      <w:divBdr>
        <w:top w:val="none" w:sz="0" w:space="0" w:color="auto"/>
        <w:left w:val="none" w:sz="0" w:space="0" w:color="auto"/>
        <w:bottom w:val="none" w:sz="0" w:space="0" w:color="auto"/>
        <w:right w:val="none" w:sz="0" w:space="0" w:color="auto"/>
      </w:divBdr>
    </w:div>
    <w:div w:id="12737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tophat2.ormercury.com/api/mailings/click/5*5AaPDWjShk7Njj9ehL6RiJbbZW9L5BLSe8aowMNcczmZ3upP1ZxWJ1ybAV3Zeo71Skp1vfMmsV7YbBHAvJxQEJ1Adg6haKdhr7dEsE8zBDPfzmwQq1SeAbvFduyKma7FxtfT8ECxkA9WXzrHNp59eKuxeHUz7BzA94x__;fg!!FjuHKAHQs5udqho!M30BkZV8CPz1rJJ-KRVQFsz9Qsv3JI7xBnM7HsoxW5u4geBQL557mHbhtExCbCOmOUoJ0i6HE9Q8N26HBTNPtUK8_Q$" TargetMode="External"/><Relationship Id="rId4" Type="http://schemas.openxmlformats.org/officeDocument/2006/relationships/hyperlink" Target="https://studentaffairs.fiu.edu/get-support/disability-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Sasore</dc:creator>
  <cp:keywords/>
  <dc:description/>
  <cp:lastModifiedBy>Jean-Philippe Sasore</cp:lastModifiedBy>
  <cp:revision>5</cp:revision>
  <dcterms:created xsi:type="dcterms:W3CDTF">2025-01-06T12:28:00Z</dcterms:created>
  <dcterms:modified xsi:type="dcterms:W3CDTF">2025-01-06T12:37:00Z</dcterms:modified>
</cp:coreProperties>
</file>