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E863E" w14:textId="7DC1E650" w:rsidR="009032D4" w:rsidRPr="0045143F" w:rsidRDefault="00383998" w:rsidP="0045143F">
      <w:pPr>
        <w:jc w:val="center"/>
        <w:rPr>
          <w:b/>
        </w:rPr>
      </w:pPr>
      <w:r w:rsidRPr="0045143F">
        <w:rPr>
          <w:b/>
        </w:rPr>
        <w:t xml:space="preserve">Syllabus for </w:t>
      </w:r>
      <w:bookmarkStart w:id="0" w:name="_Hlk80625574"/>
      <w:r w:rsidRPr="0045143F">
        <w:rPr>
          <w:b/>
        </w:rPr>
        <w:t>ECS-7015</w:t>
      </w:r>
    </w:p>
    <w:p w14:paraId="5AD7E009" w14:textId="03EE14C3" w:rsidR="00383998" w:rsidRPr="0045143F" w:rsidRDefault="00383998" w:rsidP="0045143F">
      <w:pPr>
        <w:jc w:val="center"/>
        <w:rPr>
          <w:b/>
        </w:rPr>
      </w:pPr>
      <w:r w:rsidRPr="0045143F">
        <w:rPr>
          <w:b/>
        </w:rPr>
        <w:t>Ph.D. Development Economics</w:t>
      </w:r>
    </w:p>
    <w:p w14:paraId="42324529" w14:textId="7210574C" w:rsidR="00383998" w:rsidRPr="0045143F" w:rsidRDefault="00383998" w:rsidP="0045143F">
      <w:pPr>
        <w:jc w:val="center"/>
        <w:rPr>
          <w:b/>
        </w:rPr>
      </w:pPr>
      <w:r w:rsidRPr="0045143F">
        <w:rPr>
          <w:b/>
        </w:rPr>
        <w:t>Fall 20</w:t>
      </w:r>
      <w:r w:rsidR="00F214B3">
        <w:rPr>
          <w:b/>
        </w:rPr>
        <w:t>2</w:t>
      </w:r>
      <w:r w:rsidR="004B7B77">
        <w:rPr>
          <w:b/>
        </w:rPr>
        <w:t>3</w:t>
      </w:r>
    </w:p>
    <w:p w14:paraId="617A0743" w14:textId="217574BA" w:rsidR="00383998" w:rsidRPr="00383998" w:rsidRDefault="00383998" w:rsidP="00104E3A"/>
    <w:p w14:paraId="320BBFD0" w14:textId="4DD29870" w:rsidR="00383998" w:rsidRDefault="00383998" w:rsidP="00104E3A">
      <w:r w:rsidRPr="00383998">
        <w:t xml:space="preserve">Instructor: </w:t>
      </w:r>
      <w:r w:rsidR="006F307E">
        <w:tab/>
      </w:r>
      <w:r w:rsidRPr="00383998">
        <w:t>Norihiko Matsuda</w:t>
      </w:r>
    </w:p>
    <w:p w14:paraId="2003AE47" w14:textId="42FFD761" w:rsidR="00383998" w:rsidRDefault="00383998" w:rsidP="00104E3A">
      <w:r>
        <w:t xml:space="preserve">Office: </w:t>
      </w:r>
      <w:r w:rsidR="006F307E">
        <w:tab/>
      </w:r>
      <w:r w:rsidR="006F307E">
        <w:tab/>
      </w:r>
      <w:r w:rsidRPr="00383998">
        <w:t>Deuxieme Maison</w:t>
      </w:r>
      <w:r>
        <w:t xml:space="preserve"> 30</w:t>
      </w:r>
      <w:r w:rsidR="004B7B77">
        <w:t>9C</w:t>
      </w:r>
    </w:p>
    <w:p w14:paraId="7E440728" w14:textId="2649A98F" w:rsidR="00383998" w:rsidRDefault="00383998" w:rsidP="00104E3A">
      <w:r>
        <w:t>E</w:t>
      </w:r>
      <w:r w:rsidR="006F307E">
        <w:t>-</w:t>
      </w:r>
      <w:r>
        <w:t xml:space="preserve">mail: </w:t>
      </w:r>
      <w:r w:rsidR="006F307E">
        <w:tab/>
      </w:r>
      <w:r>
        <w:t>nmatsuda@fiu.edu</w:t>
      </w:r>
    </w:p>
    <w:p w14:paraId="50403951" w14:textId="28FAF106" w:rsidR="00A017C6" w:rsidRDefault="007D3CCA" w:rsidP="00A017C6">
      <w:r>
        <w:t xml:space="preserve">Office hours: </w:t>
      </w:r>
      <w:r>
        <w:tab/>
      </w:r>
      <w:r w:rsidR="000F680F">
        <w:t>T</w:t>
      </w:r>
      <w:r w:rsidR="00A017C6">
        <w:t>u/Th 1</w:t>
      </w:r>
      <w:r w:rsidR="004B7B77">
        <w:t>2</w:t>
      </w:r>
      <w:r w:rsidR="00A017C6">
        <w:t>:</w:t>
      </w:r>
      <w:r w:rsidR="004B7B77">
        <w:t>3</w:t>
      </w:r>
      <w:r w:rsidR="0023752D">
        <w:t>0</w:t>
      </w:r>
      <w:r w:rsidR="00A017C6">
        <w:t>-1:</w:t>
      </w:r>
      <w:r w:rsidR="004B7B77">
        <w:t>3</w:t>
      </w:r>
      <w:r w:rsidR="00A017C6">
        <w:t>0 or by appointment</w:t>
      </w:r>
    </w:p>
    <w:p w14:paraId="7A1AB5D6" w14:textId="77777777" w:rsidR="00A017C6" w:rsidRDefault="00A017C6" w:rsidP="00A017C6">
      <w:pPr>
        <w:rPr>
          <w:rStyle w:val="Hyperlink"/>
          <w:rFonts w:ascii="Helvetica" w:hAnsi="Helvetica" w:cs="Helvetica"/>
          <w:color w:val="0D66D4"/>
          <w:sz w:val="21"/>
          <w:szCs w:val="21"/>
          <w:shd w:val="clear" w:color="auto" w:fill="FFFFFF"/>
        </w:rPr>
      </w:pPr>
    </w:p>
    <w:p w14:paraId="2113FC8A" w14:textId="3089870B" w:rsidR="00383998" w:rsidRDefault="00383998" w:rsidP="00A017C6">
      <w:r>
        <w:t>Course schedule:</w:t>
      </w:r>
      <w:r w:rsidR="006F307E">
        <w:tab/>
      </w:r>
      <w:r>
        <w:t>Tu</w:t>
      </w:r>
      <w:r w:rsidR="00A017C6">
        <w:t>/</w:t>
      </w:r>
      <w:r>
        <w:t xml:space="preserve">Th </w:t>
      </w:r>
      <w:r w:rsidR="009D0ED5">
        <w:t>2</w:t>
      </w:r>
      <w:r w:rsidR="00A017C6">
        <w:t>:</w:t>
      </w:r>
      <w:r w:rsidR="009D0ED5">
        <w:t>00</w:t>
      </w:r>
      <w:r>
        <w:t xml:space="preserve">- </w:t>
      </w:r>
      <w:r w:rsidR="009D0ED5">
        <w:t>3</w:t>
      </w:r>
      <w:r>
        <w:t>:</w:t>
      </w:r>
      <w:r w:rsidR="009D0ED5">
        <w:t>1</w:t>
      </w:r>
      <w:r w:rsidR="00A017C6">
        <w:t>5</w:t>
      </w:r>
    </w:p>
    <w:p w14:paraId="6ACCE31B" w14:textId="7BFC105C" w:rsidR="00E7137A" w:rsidRPr="00E7137A" w:rsidRDefault="00383998" w:rsidP="009D0ED5">
      <w:r>
        <w:t>Course</w:t>
      </w:r>
      <w:r w:rsidR="006F307E">
        <w:t xml:space="preserve"> meets:</w:t>
      </w:r>
      <w:r w:rsidR="006F307E">
        <w:tab/>
      </w:r>
      <w:r w:rsidR="00357AB6" w:rsidRPr="00357AB6">
        <w:t>Green Library 137</w:t>
      </w:r>
    </w:p>
    <w:bookmarkEnd w:id="0"/>
    <w:p w14:paraId="719D8360" w14:textId="77777777" w:rsidR="00683967" w:rsidRDefault="00683967" w:rsidP="00104E3A"/>
    <w:p w14:paraId="16B7A9F6" w14:textId="1FF3043C" w:rsidR="00DA74EE" w:rsidRDefault="006F307E" w:rsidP="00104E3A">
      <w:pPr>
        <w:pStyle w:val="Heading1"/>
      </w:pPr>
      <w:r w:rsidRPr="00E05F68">
        <w:t xml:space="preserve">Course </w:t>
      </w:r>
      <w:r w:rsidRPr="00104E3A">
        <w:t>Description</w:t>
      </w:r>
      <w:r w:rsidRPr="00E05F68">
        <w:t xml:space="preserve"> and </w:t>
      </w:r>
      <w:r w:rsidRPr="00A6499F">
        <w:t>Objectives</w:t>
      </w:r>
    </w:p>
    <w:p w14:paraId="3A2EC7FA" w14:textId="43C49332" w:rsidR="009E3BEA" w:rsidRDefault="006F307E" w:rsidP="00104E3A">
      <w:bookmarkStart w:id="1" w:name="_Hlk138605332"/>
      <w:r w:rsidRPr="006F307E">
        <w:t xml:space="preserve">This </w:t>
      </w:r>
      <w:r w:rsidR="00132187">
        <w:t>class</w:t>
      </w:r>
      <w:r w:rsidRPr="006F307E">
        <w:t xml:space="preserve"> is a </w:t>
      </w:r>
      <w:r w:rsidR="009D0ED5">
        <w:t>graduate</w:t>
      </w:r>
      <w:r w:rsidRPr="006F307E">
        <w:t xml:space="preserve"> leve</w:t>
      </w:r>
      <w:r>
        <w:t xml:space="preserve">l </w:t>
      </w:r>
      <w:r w:rsidR="00132187">
        <w:t xml:space="preserve">course </w:t>
      </w:r>
      <w:r w:rsidRPr="006F307E">
        <w:t>on development economics.</w:t>
      </w:r>
      <w:r w:rsidR="00DA74EE">
        <w:t xml:space="preserve"> The</w:t>
      </w:r>
      <w:r w:rsidR="00840220">
        <w:t xml:space="preserve"> goal of </w:t>
      </w:r>
      <w:r w:rsidR="00DA74EE">
        <w:t xml:space="preserve">this course is </w:t>
      </w:r>
      <w:r w:rsidR="00840220">
        <w:t xml:space="preserve">to </w:t>
      </w:r>
      <w:r w:rsidR="00DA74EE">
        <w:t xml:space="preserve">prepare students for their own </w:t>
      </w:r>
      <w:r w:rsidR="00840220">
        <w:t xml:space="preserve">work by giving them theorical and empirical knowledge </w:t>
      </w:r>
      <w:r w:rsidR="00F92DB7">
        <w:t>on</w:t>
      </w:r>
      <w:r w:rsidR="00840220">
        <w:t xml:space="preserve"> </w:t>
      </w:r>
      <w:r w:rsidR="00411EB0">
        <w:t xml:space="preserve">microeconomic </w:t>
      </w:r>
      <w:r w:rsidR="00840220">
        <w:t>development</w:t>
      </w:r>
      <w:r w:rsidR="00A6499F">
        <w:t xml:space="preserve"> and</w:t>
      </w:r>
      <w:r w:rsidR="00DF158C">
        <w:t xml:space="preserve"> </w:t>
      </w:r>
      <w:r w:rsidR="00A6499F">
        <w:t>practice</w:t>
      </w:r>
      <w:r w:rsidR="00DF158C">
        <w:t>s</w:t>
      </w:r>
      <w:r w:rsidR="00A6499F">
        <w:t xml:space="preserve"> </w:t>
      </w:r>
      <w:r w:rsidR="00DF158C">
        <w:t>in</w:t>
      </w:r>
      <w:r w:rsidR="00A6499F">
        <w:t xml:space="preserve"> critically read</w:t>
      </w:r>
      <w:r w:rsidR="00DF158C">
        <w:t>ing</w:t>
      </w:r>
      <w:r w:rsidR="00A6499F">
        <w:t xml:space="preserve"> papers and </w:t>
      </w:r>
      <w:r w:rsidR="00DF158C">
        <w:t>laying out</w:t>
      </w:r>
      <w:r w:rsidR="00A6499F">
        <w:t xml:space="preserve"> research ideas.</w:t>
      </w:r>
      <w:r w:rsidR="00411EB0">
        <w:t xml:space="preserve"> </w:t>
      </w:r>
      <w:r w:rsidRPr="006F307E">
        <w:t xml:space="preserve">The topics </w:t>
      </w:r>
      <w:r w:rsidR="00851DA3">
        <w:t>covered include institutions, household models, credits, savings,</w:t>
      </w:r>
      <w:r w:rsidR="00A6499F">
        <w:t xml:space="preserve"> </w:t>
      </w:r>
      <w:r w:rsidR="00851DA3">
        <w:t xml:space="preserve">insurance, education, health, </w:t>
      </w:r>
      <w:r w:rsidR="00F92DB7">
        <w:t xml:space="preserve">gender, </w:t>
      </w:r>
      <w:r w:rsidR="00851DA3">
        <w:t>migration, labor markets</w:t>
      </w:r>
      <w:r w:rsidR="00A6499F">
        <w:t>,</w:t>
      </w:r>
      <w:r w:rsidR="00851DA3">
        <w:t xml:space="preserve"> and firm</w:t>
      </w:r>
      <w:r w:rsidR="00A6499F">
        <w:t xml:space="preserve">s. </w:t>
      </w:r>
      <w:r w:rsidR="00411EB0">
        <w:t xml:space="preserve">The class will work </w:t>
      </w:r>
      <w:r w:rsidR="00411EB0" w:rsidRPr="00411EB0">
        <w:t>through a few papers in detail rather than synthe</w:t>
      </w:r>
      <w:r w:rsidR="00411EB0">
        <w:t xml:space="preserve">size a </w:t>
      </w:r>
      <w:r w:rsidR="00411EB0" w:rsidRPr="00411EB0">
        <w:t xml:space="preserve">literature. </w:t>
      </w:r>
      <w:r w:rsidR="00132187">
        <w:t>Students are expected to have read the articles and be prepared to discuss them in class in depth.</w:t>
      </w:r>
    </w:p>
    <w:p w14:paraId="05E314C3" w14:textId="2AF23E9C" w:rsidR="006F307E" w:rsidRDefault="00144030" w:rsidP="00144030">
      <w:pPr>
        <w:ind w:firstLine="360"/>
      </w:pPr>
      <w:r>
        <w:t>Although</w:t>
      </w:r>
      <w:r w:rsidR="00840220">
        <w:t xml:space="preserve"> the course name is Development Economics </w:t>
      </w:r>
      <w:r w:rsidR="00840220" w:rsidRPr="00F124F5">
        <w:rPr>
          <w:i/>
        </w:rPr>
        <w:t>Theory</w:t>
      </w:r>
      <w:r w:rsidR="00840220">
        <w:t xml:space="preserve">, the course will </w:t>
      </w:r>
      <w:r w:rsidR="00A6499F">
        <w:t>put</w:t>
      </w:r>
      <w:r w:rsidR="00840220">
        <w:t xml:space="preserve"> equal, if not more, weight on empirica</w:t>
      </w:r>
      <w:r w:rsidR="00851DA3">
        <w:t>l applications</w:t>
      </w:r>
      <w:r w:rsidR="00F124F5">
        <w:t xml:space="preserve">, given the </w:t>
      </w:r>
      <w:r w:rsidR="00A6499F">
        <w:t>importance</w:t>
      </w:r>
      <w:r w:rsidR="00F124F5">
        <w:t xml:space="preserve"> of empirical work in the current </w:t>
      </w:r>
      <w:r w:rsidR="00851DA3">
        <w:t>literature</w:t>
      </w:r>
      <w:r w:rsidR="00A6499F">
        <w:t xml:space="preserve"> on </w:t>
      </w:r>
      <w:r w:rsidR="00F124F5">
        <w:t>economic development</w:t>
      </w:r>
      <w:r w:rsidR="00851DA3">
        <w:t>.</w:t>
      </w:r>
    </w:p>
    <w:bookmarkEnd w:id="1"/>
    <w:p w14:paraId="5EF402BE" w14:textId="77777777" w:rsidR="00A6499F" w:rsidRDefault="00A6499F" w:rsidP="00104E3A"/>
    <w:p w14:paraId="55EB70D5" w14:textId="44BC1995" w:rsidR="006F307E" w:rsidRDefault="00F124F5" w:rsidP="00104E3A">
      <w:pPr>
        <w:pStyle w:val="Heading1"/>
      </w:pPr>
      <w:r>
        <w:t>Prerequisites</w:t>
      </w:r>
    </w:p>
    <w:p w14:paraId="626DCC39" w14:textId="1EDF7FE8" w:rsidR="00F124F5" w:rsidRDefault="0092642D" w:rsidP="00104E3A">
      <w:r>
        <w:t>Graduate coursework in economic theory and econometrics is</w:t>
      </w:r>
      <w:r w:rsidR="00F124F5">
        <w:t xml:space="preserve"> prerequisites for this class.</w:t>
      </w:r>
    </w:p>
    <w:p w14:paraId="389242A4" w14:textId="5E13585B" w:rsidR="00F124F5" w:rsidRDefault="00F124F5" w:rsidP="00104E3A"/>
    <w:p w14:paraId="3BCA80AA" w14:textId="11A1AB2B" w:rsidR="00007B60" w:rsidRDefault="00F124F5" w:rsidP="00104E3A">
      <w:pPr>
        <w:pStyle w:val="Heading1"/>
      </w:pPr>
      <w:r w:rsidRPr="009E3BEA">
        <w:t>Course Requirements</w:t>
      </w:r>
    </w:p>
    <w:p w14:paraId="6CBC1EA9" w14:textId="497026BB" w:rsidR="00007B60" w:rsidRPr="00AC7995" w:rsidRDefault="00007B60" w:rsidP="00104E3A">
      <w:pPr>
        <w:pStyle w:val="Heading2"/>
      </w:pPr>
      <w:bookmarkStart w:id="2" w:name="_Hlk522209839"/>
      <w:r w:rsidRPr="00AC7995">
        <w:t>Participation</w:t>
      </w:r>
      <w:r w:rsidR="00557247">
        <w:t xml:space="preserve"> (10%)</w:t>
      </w:r>
    </w:p>
    <w:p w14:paraId="4A6B5D97" w14:textId="6CB71CF2" w:rsidR="00007B60" w:rsidRDefault="006F19B2" w:rsidP="00104E3A">
      <w:r>
        <w:t>You are expected to come prepared to discuss and analyze the readings. I will ask you questions about the required readings during class. Also, you should ask questions and share your thoughts.</w:t>
      </w:r>
    </w:p>
    <w:p w14:paraId="395259BC" w14:textId="77777777" w:rsidR="006F19B2" w:rsidRDefault="006F19B2" w:rsidP="00104E3A"/>
    <w:p w14:paraId="524F3BFD" w14:textId="40A01F70" w:rsidR="00007B60" w:rsidRPr="00AC7995" w:rsidRDefault="00B318AD" w:rsidP="00104E3A">
      <w:pPr>
        <w:pStyle w:val="Heading2"/>
      </w:pPr>
      <w:r w:rsidRPr="00AC7995">
        <w:t>Homework assignments</w:t>
      </w:r>
      <w:r w:rsidR="00557247">
        <w:t xml:space="preserve"> (</w:t>
      </w:r>
      <w:r w:rsidR="006F19B2">
        <w:t>60</w:t>
      </w:r>
      <w:r w:rsidR="00557247">
        <w:t>%)</w:t>
      </w:r>
    </w:p>
    <w:p w14:paraId="2C3303CF" w14:textId="77777777" w:rsidR="006F19B2" w:rsidRDefault="006F19B2" w:rsidP="006F19B2">
      <w:r>
        <w:t>There will be three homework assignments that combine theoretical and data analysis (17% each). You will need to use Stata or similar statistical software.</w:t>
      </w:r>
    </w:p>
    <w:p w14:paraId="578E77AF" w14:textId="26214C86" w:rsidR="005C73DA" w:rsidRDefault="005C73DA" w:rsidP="00104E3A"/>
    <w:p w14:paraId="7BE7DA5B" w14:textId="1621CE0B" w:rsidR="00A017C6" w:rsidRDefault="00776401" w:rsidP="00A017C6">
      <w:pPr>
        <w:pStyle w:val="Heading2"/>
      </w:pPr>
      <w:r>
        <w:t>Paper presentation</w:t>
      </w:r>
      <w:r w:rsidR="00A017C6" w:rsidRPr="007916B1">
        <w:t xml:space="preserve"> (</w:t>
      </w:r>
      <w:r>
        <w:t>15</w:t>
      </w:r>
      <w:r w:rsidR="00A017C6" w:rsidRPr="007916B1">
        <w:t>%)</w:t>
      </w:r>
    </w:p>
    <w:p w14:paraId="6A84B96A" w14:textId="49ED89A1" w:rsidR="00776401" w:rsidRDefault="00776401" w:rsidP="00776401">
      <w:r>
        <w:t xml:space="preserve">Each student presents one published paper in depth for 45-60 minutes, where </w:t>
      </w:r>
      <w:r w:rsidR="002B174F">
        <w:t xml:space="preserve">your fellow students and I </w:t>
      </w:r>
      <w:r>
        <w:t xml:space="preserve">will interrupt and ask to make sure that important pieces are explained. This presentation must be intensive </w:t>
      </w:r>
      <w:r w:rsidR="000A65D7">
        <w:t>as the fellow students and I will</w:t>
      </w:r>
      <w:r>
        <w:t xml:space="preserve"> read papers thoroughly and prepare what to ask and explain. Students must seriously read papers and understand them.</w:t>
      </w:r>
    </w:p>
    <w:p w14:paraId="04026260" w14:textId="77777777" w:rsidR="00776401" w:rsidRDefault="00776401" w:rsidP="00104E3A"/>
    <w:p w14:paraId="7793564C" w14:textId="4285ABEB" w:rsidR="007916B1" w:rsidRDefault="000E055F" w:rsidP="007916B1">
      <w:pPr>
        <w:pStyle w:val="Heading2"/>
      </w:pPr>
      <w:r>
        <w:t>Paper p</w:t>
      </w:r>
      <w:r w:rsidR="00C63706">
        <w:t>resentation</w:t>
      </w:r>
      <w:r>
        <w:t>s</w:t>
      </w:r>
      <w:r w:rsidR="00557247" w:rsidRPr="007916B1">
        <w:t xml:space="preserve"> (</w:t>
      </w:r>
      <w:r w:rsidR="006F19B2">
        <w:t>30</w:t>
      </w:r>
      <w:r w:rsidR="00557247" w:rsidRPr="007916B1">
        <w:t>%)</w:t>
      </w:r>
    </w:p>
    <w:p w14:paraId="5190E9F2" w14:textId="77777777" w:rsidR="006F19B2" w:rsidRDefault="006F19B2" w:rsidP="006F19B2">
      <w:r>
        <w:t>Each student presents two published and unpublished papers in depth for 45-60 minutes, where your fellow students and I will interrupt and ask to make sure that important pieces are explained. This presentation must be intensive as the fellow students and I will read papers thoroughly and prepare what to ask and explain. Students must seriously read papers and understand them. In the last slide(s) of your presentation, you must add your praise and critics on the papers.</w:t>
      </w:r>
    </w:p>
    <w:p w14:paraId="3F6BC90C" w14:textId="77777777" w:rsidR="006F19B2" w:rsidRDefault="006F19B2" w:rsidP="006F19B2"/>
    <w:p w14:paraId="454584A1" w14:textId="250CACEC" w:rsidR="002C5374" w:rsidRDefault="006F19B2" w:rsidP="006F19B2">
      <w:r>
        <w:t>These assignments will allow you to read and critique papers on the research frontier of development economics and have a concrete sense of the quality of top work in the field.</w:t>
      </w:r>
    </w:p>
    <w:p w14:paraId="698C2266" w14:textId="77777777" w:rsidR="006F19B2" w:rsidRDefault="006F19B2" w:rsidP="006F19B2"/>
    <w:p w14:paraId="434A0702" w14:textId="04480E1F" w:rsidR="000776BC" w:rsidRPr="00534AA9" w:rsidRDefault="001A6E51" w:rsidP="00104E3A">
      <w:pPr>
        <w:pStyle w:val="Heading2"/>
      </w:pPr>
      <w:bookmarkStart w:id="3" w:name="_Hlk522210354"/>
      <w:r>
        <w:t>G</w:t>
      </w:r>
      <w:r w:rsidR="00B34762" w:rsidRPr="00534AA9">
        <w:t>rading</w:t>
      </w:r>
    </w:p>
    <w:p w14:paraId="414856F0" w14:textId="0A05C5D4" w:rsidR="00B34762" w:rsidRDefault="00B34762" w:rsidP="00104E3A">
      <w:r>
        <w:t xml:space="preserve">Assignment due dates and point distributions are given below. If you choose not to turn in an assignment on time, you will </w:t>
      </w:r>
      <w:proofErr w:type="spellStart"/>
      <w:r>
        <w:t>loose</w:t>
      </w:r>
      <w:proofErr w:type="spellEnd"/>
      <w:r>
        <w:t xml:space="preserve"> 20% of the total points that you earn on the assignment for each day that it is late. </w:t>
      </w:r>
    </w:p>
    <w:p w14:paraId="1A83158F" w14:textId="77777777" w:rsidR="00534AA9" w:rsidRDefault="00534AA9" w:rsidP="00104E3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990"/>
      </w:tblGrid>
      <w:tr w:rsidR="002B174F" w14:paraId="38465708" w14:textId="0150B804" w:rsidTr="00D33033">
        <w:trPr>
          <w:jc w:val="center"/>
        </w:trPr>
        <w:tc>
          <w:tcPr>
            <w:tcW w:w="3870" w:type="dxa"/>
            <w:tcBorders>
              <w:bottom w:val="single" w:sz="4" w:space="0" w:color="auto"/>
            </w:tcBorders>
          </w:tcPr>
          <w:p w14:paraId="5E379222" w14:textId="126E5524" w:rsidR="002B174F" w:rsidRDefault="002B174F" w:rsidP="00104E3A">
            <w:r>
              <w:t>Assignment</w:t>
            </w:r>
          </w:p>
        </w:tc>
        <w:tc>
          <w:tcPr>
            <w:tcW w:w="990" w:type="dxa"/>
            <w:tcBorders>
              <w:bottom w:val="single" w:sz="4" w:space="0" w:color="auto"/>
            </w:tcBorders>
          </w:tcPr>
          <w:p w14:paraId="14EE1465" w14:textId="16B52622" w:rsidR="002B174F" w:rsidRDefault="002B174F" w:rsidP="00104E3A">
            <w:r>
              <w:t>Points</w:t>
            </w:r>
          </w:p>
        </w:tc>
      </w:tr>
      <w:tr w:rsidR="002B174F" w14:paraId="70A1AAA9" w14:textId="4F4F1E1A" w:rsidTr="00D33033">
        <w:trPr>
          <w:jc w:val="center"/>
        </w:trPr>
        <w:tc>
          <w:tcPr>
            <w:tcW w:w="3870" w:type="dxa"/>
            <w:tcBorders>
              <w:top w:val="single" w:sz="4" w:space="0" w:color="auto"/>
            </w:tcBorders>
          </w:tcPr>
          <w:p w14:paraId="7D85A20C" w14:textId="7C22CDCF" w:rsidR="002B174F" w:rsidRDefault="002B174F" w:rsidP="00104E3A">
            <w:r>
              <w:t>Participation</w:t>
            </w:r>
          </w:p>
        </w:tc>
        <w:tc>
          <w:tcPr>
            <w:tcW w:w="990" w:type="dxa"/>
            <w:tcBorders>
              <w:top w:val="single" w:sz="4" w:space="0" w:color="auto"/>
            </w:tcBorders>
          </w:tcPr>
          <w:p w14:paraId="0AA6A5E4" w14:textId="27AD79E4" w:rsidR="002B174F" w:rsidRDefault="002B174F" w:rsidP="00D33033">
            <w:pPr>
              <w:jc w:val="center"/>
            </w:pPr>
            <w:r>
              <w:t>10</w:t>
            </w:r>
          </w:p>
        </w:tc>
      </w:tr>
      <w:tr w:rsidR="002B174F" w14:paraId="11967AA0" w14:textId="7C294A88" w:rsidTr="00D33033">
        <w:trPr>
          <w:jc w:val="center"/>
        </w:trPr>
        <w:tc>
          <w:tcPr>
            <w:tcW w:w="3870" w:type="dxa"/>
          </w:tcPr>
          <w:p w14:paraId="051CFE5F" w14:textId="33AFAE38" w:rsidR="002B174F" w:rsidRDefault="002B174F" w:rsidP="00104E3A">
            <w:r>
              <w:t>Homework 1</w:t>
            </w:r>
          </w:p>
        </w:tc>
        <w:tc>
          <w:tcPr>
            <w:tcW w:w="990" w:type="dxa"/>
          </w:tcPr>
          <w:p w14:paraId="4457486B" w14:textId="642B48E2" w:rsidR="002B174F" w:rsidRDefault="006F19B2" w:rsidP="00D33033">
            <w:pPr>
              <w:jc w:val="center"/>
            </w:pPr>
            <w:r>
              <w:t>20</w:t>
            </w:r>
          </w:p>
        </w:tc>
      </w:tr>
      <w:tr w:rsidR="002B174F" w14:paraId="25636075" w14:textId="77777777" w:rsidTr="00D33033">
        <w:trPr>
          <w:jc w:val="center"/>
        </w:trPr>
        <w:tc>
          <w:tcPr>
            <w:tcW w:w="3870" w:type="dxa"/>
          </w:tcPr>
          <w:p w14:paraId="5BBDA244" w14:textId="0769E6BF" w:rsidR="002B174F" w:rsidRDefault="002B174F" w:rsidP="00104E3A">
            <w:r>
              <w:t>Homework 2</w:t>
            </w:r>
          </w:p>
        </w:tc>
        <w:tc>
          <w:tcPr>
            <w:tcW w:w="990" w:type="dxa"/>
          </w:tcPr>
          <w:p w14:paraId="1506F2A2" w14:textId="3EF45671" w:rsidR="002B174F" w:rsidRDefault="006F19B2" w:rsidP="00D33033">
            <w:pPr>
              <w:jc w:val="center"/>
            </w:pPr>
            <w:r>
              <w:t>20</w:t>
            </w:r>
          </w:p>
        </w:tc>
      </w:tr>
      <w:tr w:rsidR="002B174F" w14:paraId="229683F3" w14:textId="1991FF98" w:rsidTr="00D33033">
        <w:trPr>
          <w:jc w:val="center"/>
        </w:trPr>
        <w:tc>
          <w:tcPr>
            <w:tcW w:w="3870" w:type="dxa"/>
          </w:tcPr>
          <w:p w14:paraId="54EB036C" w14:textId="6F50BFDB" w:rsidR="002B174F" w:rsidRDefault="002B174F" w:rsidP="00104E3A">
            <w:r>
              <w:t>Homework 3</w:t>
            </w:r>
          </w:p>
        </w:tc>
        <w:tc>
          <w:tcPr>
            <w:tcW w:w="990" w:type="dxa"/>
          </w:tcPr>
          <w:p w14:paraId="56EF2205" w14:textId="541BDDA6" w:rsidR="002B174F" w:rsidRDefault="006F19B2" w:rsidP="00D33033">
            <w:pPr>
              <w:jc w:val="center"/>
            </w:pPr>
            <w:r>
              <w:t>20</w:t>
            </w:r>
          </w:p>
        </w:tc>
      </w:tr>
      <w:tr w:rsidR="002B174F" w14:paraId="15292C38" w14:textId="161ED0B0" w:rsidTr="00D33033">
        <w:trPr>
          <w:jc w:val="center"/>
        </w:trPr>
        <w:tc>
          <w:tcPr>
            <w:tcW w:w="3870" w:type="dxa"/>
          </w:tcPr>
          <w:p w14:paraId="7DFDB469" w14:textId="369FEE59" w:rsidR="002B174F" w:rsidRDefault="002B174F" w:rsidP="00104E3A">
            <w:r>
              <w:t>Presentation</w:t>
            </w:r>
            <w:r w:rsidR="006F19B2">
              <w:t xml:space="preserve"> 1</w:t>
            </w:r>
          </w:p>
        </w:tc>
        <w:tc>
          <w:tcPr>
            <w:tcW w:w="990" w:type="dxa"/>
          </w:tcPr>
          <w:p w14:paraId="08FF0B4C" w14:textId="4A7AC043" w:rsidR="002B174F" w:rsidRDefault="006F19B2" w:rsidP="00D33033">
            <w:pPr>
              <w:jc w:val="center"/>
            </w:pPr>
            <w:r>
              <w:t>15</w:t>
            </w:r>
          </w:p>
        </w:tc>
      </w:tr>
      <w:tr w:rsidR="002B174F" w14:paraId="08481B6D" w14:textId="14EFF384" w:rsidTr="00D33033">
        <w:trPr>
          <w:jc w:val="center"/>
        </w:trPr>
        <w:tc>
          <w:tcPr>
            <w:tcW w:w="3870" w:type="dxa"/>
            <w:tcBorders>
              <w:bottom w:val="single" w:sz="4" w:space="0" w:color="auto"/>
            </w:tcBorders>
          </w:tcPr>
          <w:p w14:paraId="67923024" w14:textId="4A3B0D8F" w:rsidR="002B174F" w:rsidRDefault="006F19B2" w:rsidP="00104E3A">
            <w:r>
              <w:t>Presentation 2</w:t>
            </w:r>
          </w:p>
        </w:tc>
        <w:tc>
          <w:tcPr>
            <w:tcW w:w="990" w:type="dxa"/>
            <w:tcBorders>
              <w:bottom w:val="single" w:sz="4" w:space="0" w:color="auto"/>
            </w:tcBorders>
          </w:tcPr>
          <w:p w14:paraId="6E4DC013" w14:textId="33DE790E" w:rsidR="002B174F" w:rsidRDefault="006F19B2" w:rsidP="00D33033">
            <w:pPr>
              <w:jc w:val="center"/>
            </w:pPr>
            <w:r>
              <w:t>1</w:t>
            </w:r>
            <w:r w:rsidR="002B174F">
              <w:t>5</w:t>
            </w:r>
          </w:p>
        </w:tc>
      </w:tr>
      <w:bookmarkEnd w:id="3"/>
    </w:tbl>
    <w:p w14:paraId="0D1534B9" w14:textId="1D147BF5" w:rsidR="000776BC" w:rsidRDefault="000776BC" w:rsidP="00104E3A"/>
    <w:p w14:paraId="27428CFA" w14:textId="6C808930" w:rsidR="00DA02DC" w:rsidRDefault="005A2620" w:rsidP="00104E3A">
      <w:r>
        <w:t>Final letter grade will be awarded according to the scale below</w:t>
      </w:r>
      <w:r w:rsidR="00BC6F97">
        <w:t>:</w:t>
      </w:r>
    </w:p>
    <w:p w14:paraId="1A1BEF4D" w14:textId="77777777" w:rsidR="00D94BCA" w:rsidRDefault="00D94BCA" w:rsidP="00104E3A"/>
    <w:tbl>
      <w:tblPr>
        <w:tblStyle w:val="TableGrid"/>
        <w:tblW w:w="0" w:type="auto"/>
        <w:tblInd w:w="3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1705"/>
      </w:tblGrid>
      <w:tr w:rsidR="00BC6F97" w14:paraId="1BC23EA1" w14:textId="77777777" w:rsidTr="00DA02DC">
        <w:tc>
          <w:tcPr>
            <w:tcW w:w="905" w:type="dxa"/>
            <w:tcBorders>
              <w:top w:val="single" w:sz="4" w:space="0" w:color="auto"/>
            </w:tcBorders>
          </w:tcPr>
          <w:p w14:paraId="6D8AAEF7" w14:textId="788D2B5F" w:rsidR="00BC6F97" w:rsidRDefault="00BC6F97" w:rsidP="00DA02DC">
            <w:r>
              <w:t>A</w:t>
            </w:r>
          </w:p>
        </w:tc>
        <w:tc>
          <w:tcPr>
            <w:tcW w:w="1705" w:type="dxa"/>
            <w:tcBorders>
              <w:top w:val="single" w:sz="4" w:space="0" w:color="auto"/>
            </w:tcBorders>
          </w:tcPr>
          <w:p w14:paraId="7C67234D" w14:textId="5FB39C45" w:rsidR="00BC6F97" w:rsidRDefault="00BC6F97" w:rsidP="00104E3A">
            <w:r>
              <w:t>&gt;=93</w:t>
            </w:r>
          </w:p>
        </w:tc>
      </w:tr>
      <w:tr w:rsidR="00BC6F97" w14:paraId="761E6C79" w14:textId="77777777" w:rsidTr="00DA02DC">
        <w:tc>
          <w:tcPr>
            <w:tcW w:w="905" w:type="dxa"/>
          </w:tcPr>
          <w:p w14:paraId="05E9717F" w14:textId="708B4FAE" w:rsidR="00BC6F97" w:rsidRDefault="00BC6F97" w:rsidP="00DA02DC">
            <w:r>
              <w:t>A-</w:t>
            </w:r>
          </w:p>
        </w:tc>
        <w:tc>
          <w:tcPr>
            <w:tcW w:w="1705" w:type="dxa"/>
          </w:tcPr>
          <w:p w14:paraId="67B3C1CB" w14:textId="74BD13A3" w:rsidR="00BC6F97" w:rsidRDefault="00BC6F97" w:rsidP="00104E3A">
            <w:r>
              <w:t>&lt;93 &amp; &gt;= 90</w:t>
            </w:r>
          </w:p>
        </w:tc>
      </w:tr>
      <w:tr w:rsidR="00BC6F97" w14:paraId="5ECB7309" w14:textId="77777777" w:rsidTr="00DA02DC">
        <w:tc>
          <w:tcPr>
            <w:tcW w:w="905" w:type="dxa"/>
          </w:tcPr>
          <w:p w14:paraId="08345519" w14:textId="5B29CD55" w:rsidR="00BC6F97" w:rsidRDefault="00BC6F97" w:rsidP="00DA02DC">
            <w:r>
              <w:t>B+</w:t>
            </w:r>
          </w:p>
        </w:tc>
        <w:tc>
          <w:tcPr>
            <w:tcW w:w="1705" w:type="dxa"/>
          </w:tcPr>
          <w:p w14:paraId="5AB14C5D" w14:textId="37FE8249" w:rsidR="00BC6F97" w:rsidRDefault="00BC6F97" w:rsidP="00104E3A">
            <w:r w:rsidRPr="00BC6F97">
              <w:t>&lt;</w:t>
            </w:r>
            <w:r>
              <w:t>90</w:t>
            </w:r>
            <w:r w:rsidRPr="00BC6F97">
              <w:t xml:space="preserve"> &amp; &gt;=</w:t>
            </w:r>
            <w:r>
              <w:t>85</w:t>
            </w:r>
            <w:r w:rsidRPr="00BC6F97">
              <w:t xml:space="preserve"> </w:t>
            </w:r>
          </w:p>
        </w:tc>
      </w:tr>
      <w:tr w:rsidR="00BC6F97" w14:paraId="28C74C06" w14:textId="77777777" w:rsidTr="00DA02DC">
        <w:tc>
          <w:tcPr>
            <w:tcW w:w="905" w:type="dxa"/>
          </w:tcPr>
          <w:p w14:paraId="3E0905A6" w14:textId="6DB72405" w:rsidR="00BC6F97" w:rsidRDefault="00BC6F97" w:rsidP="00DA02DC">
            <w:r>
              <w:t>B</w:t>
            </w:r>
          </w:p>
        </w:tc>
        <w:tc>
          <w:tcPr>
            <w:tcW w:w="1705" w:type="dxa"/>
          </w:tcPr>
          <w:p w14:paraId="7B2A81ED" w14:textId="490AD776" w:rsidR="00BC6F97" w:rsidRDefault="00BC6F97" w:rsidP="00104E3A">
            <w:r w:rsidRPr="00BC6F97">
              <w:t>&lt;</w:t>
            </w:r>
            <w:r>
              <w:t>85</w:t>
            </w:r>
            <w:r w:rsidRPr="00BC6F97">
              <w:t xml:space="preserve"> &amp; &gt;=</w:t>
            </w:r>
            <w:r>
              <w:t>80</w:t>
            </w:r>
          </w:p>
        </w:tc>
      </w:tr>
      <w:tr w:rsidR="00BC6F97" w14:paraId="7A2ABA68" w14:textId="77777777" w:rsidTr="00DA02DC">
        <w:tc>
          <w:tcPr>
            <w:tcW w:w="905" w:type="dxa"/>
          </w:tcPr>
          <w:p w14:paraId="00BC3D74" w14:textId="2FFCD4CA" w:rsidR="00BC6F97" w:rsidRDefault="00BC6F97" w:rsidP="00DA02DC">
            <w:r>
              <w:t>B-</w:t>
            </w:r>
          </w:p>
        </w:tc>
        <w:tc>
          <w:tcPr>
            <w:tcW w:w="1705" w:type="dxa"/>
          </w:tcPr>
          <w:p w14:paraId="508E3241" w14:textId="1D15D3B9" w:rsidR="00BC6F97" w:rsidRDefault="00BC6F97" w:rsidP="00104E3A">
            <w:r w:rsidRPr="00BC6F97">
              <w:t>&lt;</w:t>
            </w:r>
            <w:r>
              <w:t>80</w:t>
            </w:r>
            <w:r w:rsidRPr="00BC6F97">
              <w:t xml:space="preserve"> &amp; &gt;=</w:t>
            </w:r>
            <w:r>
              <w:t>75</w:t>
            </w:r>
          </w:p>
        </w:tc>
      </w:tr>
      <w:tr w:rsidR="00BC6F97" w14:paraId="34D458F3" w14:textId="77777777" w:rsidTr="00DA02DC">
        <w:tc>
          <w:tcPr>
            <w:tcW w:w="905" w:type="dxa"/>
          </w:tcPr>
          <w:p w14:paraId="543E286F" w14:textId="5FA592CE" w:rsidR="00BC6F97" w:rsidRDefault="00BC6F97" w:rsidP="00DA02DC">
            <w:r>
              <w:t>C+</w:t>
            </w:r>
          </w:p>
        </w:tc>
        <w:tc>
          <w:tcPr>
            <w:tcW w:w="1705" w:type="dxa"/>
          </w:tcPr>
          <w:p w14:paraId="6FA1FF84" w14:textId="5074B81A" w:rsidR="00BC6F97" w:rsidRDefault="00BC6F97" w:rsidP="00104E3A">
            <w:r w:rsidRPr="00BC6F97">
              <w:t>&lt;</w:t>
            </w:r>
            <w:r>
              <w:t>75</w:t>
            </w:r>
            <w:r w:rsidRPr="00BC6F97">
              <w:t xml:space="preserve"> &amp; &gt;=</w:t>
            </w:r>
            <w:r>
              <w:t>70</w:t>
            </w:r>
          </w:p>
        </w:tc>
      </w:tr>
      <w:tr w:rsidR="00BC6F97" w14:paraId="6292721B" w14:textId="77777777" w:rsidTr="00DA02DC">
        <w:tc>
          <w:tcPr>
            <w:tcW w:w="905" w:type="dxa"/>
          </w:tcPr>
          <w:p w14:paraId="51652EA1" w14:textId="69CC90A4" w:rsidR="00BC6F97" w:rsidRDefault="00BC6F97" w:rsidP="00DA02DC">
            <w:r>
              <w:t>C</w:t>
            </w:r>
          </w:p>
        </w:tc>
        <w:tc>
          <w:tcPr>
            <w:tcW w:w="1705" w:type="dxa"/>
          </w:tcPr>
          <w:p w14:paraId="31BAB3DA" w14:textId="6B78F3F8" w:rsidR="00BC6F97" w:rsidRDefault="00BC6F97" w:rsidP="00104E3A">
            <w:r w:rsidRPr="00BC6F97">
              <w:t>&lt;</w:t>
            </w:r>
            <w:r>
              <w:t>70</w:t>
            </w:r>
            <w:r w:rsidRPr="00BC6F97">
              <w:t xml:space="preserve"> &amp; &gt;=</w:t>
            </w:r>
            <w:r>
              <w:t>65</w:t>
            </w:r>
          </w:p>
        </w:tc>
      </w:tr>
      <w:tr w:rsidR="00BC6F97" w14:paraId="22B7999F" w14:textId="77777777" w:rsidTr="00DA02DC">
        <w:tc>
          <w:tcPr>
            <w:tcW w:w="905" w:type="dxa"/>
          </w:tcPr>
          <w:p w14:paraId="273073B1" w14:textId="67D5CA61" w:rsidR="00BC6F97" w:rsidRDefault="00BC6F97" w:rsidP="00DA02DC">
            <w:r>
              <w:t>D</w:t>
            </w:r>
          </w:p>
        </w:tc>
        <w:tc>
          <w:tcPr>
            <w:tcW w:w="1705" w:type="dxa"/>
          </w:tcPr>
          <w:p w14:paraId="08D306C6" w14:textId="308C04D3" w:rsidR="00BC6F97" w:rsidRDefault="00BC6F97" w:rsidP="00104E3A">
            <w:r w:rsidRPr="00BC6F97">
              <w:t>&lt;</w:t>
            </w:r>
            <w:r>
              <w:t>65</w:t>
            </w:r>
            <w:r w:rsidRPr="00BC6F97">
              <w:t xml:space="preserve"> &amp; &gt;=</w:t>
            </w:r>
            <w:r>
              <w:t>60</w:t>
            </w:r>
          </w:p>
        </w:tc>
      </w:tr>
      <w:tr w:rsidR="00BC6F97" w14:paraId="660497E1" w14:textId="77777777" w:rsidTr="00DA02DC">
        <w:tc>
          <w:tcPr>
            <w:tcW w:w="905" w:type="dxa"/>
            <w:tcBorders>
              <w:bottom w:val="single" w:sz="4" w:space="0" w:color="auto"/>
            </w:tcBorders>
          </w:tcPr>
          <w:p w14:paraId="4C2C1BE1" w14:textId="594377BE" w:rsidR="00BC6F97" w:rsidRDefault="00BC6F97" w:rsidP="00DA02DC">
            <w:r>
              <w:t>F</w:t>
            </w:r>
          </w:p>
        </w:tc>
        <w:tc>
          <w:tcPr>
            <w:tcW w:w="1705" w:type="dxa"/>
            <w:tcBorders>
              <w:bottom w:val="single" w:sz="4" w:space="0" w:color="auto"/>
            </w:tcBorders>
          </w:tcPr>
          <w:p w14:paraId="5336526A" w14:textId="369A4C1D" w:rsidR="00BC6F97" w:rsidRDefault="00BC6F97" w:rsidP="00104E3A">
            <w:r w:rsidRPr="00BC6F97">
              <w:t xml:space="preserve">&lt; </w:t>
            </w:r>
            <w:r>
              <w:t>60</w:t>
            </w:r>
          </w:p>
        </w:tc>
      </w:tr>
    </w:tbl>
    <w:p w14:paraId="7F1E0DED" w14:textId="77777777" w:rsidR="002933B0" w:rsidRDefault="002933B0" w:rsidP="00104E3A"/>
    <w:bookmarkEnd w:id="2"/>
    <w:p w14:paraId="6CD38D64" w14:textId="1C20689A" w:rsidR="005825DE" w:rsidRPr="00104E3A" w:rsidRDefault="003D4C79" w:rsidP="00104E3A">
      <w:pPr>
        <w:pStyle w:val="Heading1"/>
      </w:pPr>
      <w:r>
        <w:t>Course Outline and Readings</w:t>
      </w:r>
    </w:p>
    <w:p w14:paraId="05AA1567" w14:textId="2371A3DF" w:rsidR="00FF5B45" w:rsidRDefault="0084005A" w:rsidP="004839B7">
      <w:bookmarkStart w:id="4" w:name="_Hlk49125425"/>
      <w:r>
        <w:t>This schedule is subject to change</w:t>
      </w:r>
      <w:r w:rsidR="00770122">
        <w:t>. I</w:t>
      </w:r>
      <w:r w:rsidR="00104E3A" w:rsidRPr="00104E3A">
        <w:t xml:space="preserve"> may</w:t>
      </w:r>
      <w:r w:rsidR="00104E3A">
        <w:t xml:space="preserve"> </w:t>
      </w:r>
      <w:r w:rsidR="00104E3A" w:rsidRPr="00104E3A">
        <w:t>add or drop readings during the semester</w:t>
      </w:r>
      <w:r w:rsidR="00104E3A">
        <w:t>.</w:t>
      </w:r>
      <w:r w:rsidR="00104E3A" w:rsidRPr="00104E3A">
        <w:t xml:space="preserve"> I will announce changes in class and update the syllabus</w:t>
      </w:r>
      <w:r w:rsidR="00104E3A">
        <w:t>.</w:t>
      </w:r>
      <w:r w:rsidR="00DF158C">
        <w:t xml:space="preserve"> </w:t>
      </w:r>
      <w:bookmarkEnd w:id="4"/>
    </w:p>
    <w:p w14:paraId="0704D675" w14:textId="648FD050" w:rsidR="00906155" w:rsidRDefault="00906155" w:rsidP="00104E3A"/>
    <w:tbl>
      <w:tblPr>
        <w:tblStyle w:val="TableGrid"/>
        <w:tblW w:w="95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12"/>
        <w:gridCol w:w="5582"/>
        <w:gridCol w:w="2520"/>
      </w:tblGrid>
      <w:tr w:rsidR="004839B7" w:rsidRPr="00441851" w14:paraId="5115CEC2" w14:textId="77777777" w:rsidTr="00224253">
        <w:trPr>
          <w:trHeight w:val="288"/>
          <w:jc w:val="center"/>
        </w:trPr>
        <w:tc>
          <w:tcPr>
            <w:tcW w:w="630" w:type="dxa"/>
            <w:tcBorders>
              <w:bottom w:val="single" w:sz="4" w:space="0" w:color="auto"/>
            </w:tcBorders>
            <w:noWrap/>
            <w:hideMark/>
          </w:tcPr>
          <w:p w14:paraId="601BA09E" w14:textId="77777777" w:rsidR="004839B7" w:rsidRPr="00441851" w:rsidRDefault="004839B7" w:rsidP="00224253">
            <w:pPr>
              <w:jc w:val="center"/>
              <w:rPr>
                <w:sz w:val="22"/>
                <w:szCs w:val="22"/>
              </w:rPr>
            </w:pPr>
            <w:r w:rsidRPr="00441851">
              <w:rPr>
                <w:sz w:val="22"/>
                <w:szCs w:val="22"/>
              </w:rPr>
              <w:t>Day</w:t>
            </w:r>
          </w:p>
        </w:tc>
        <w:tc>
          <w:tcPr>
            <w:tcW w:w="812" w:type="dxa"/>
            <w:tcBorders>
              <w:bottom w:val="single" w:sz="4" w:space="0" w:color="auto"/>
            </w:tcBorders>
            <w:noWrap/>
            <w:hideMark/>
          </w:tcPr>
          <w:p w14:paraId="1EEDC177" w14:textId="77777777" w:rsidR="004839B7" w:rsidRPr="00441851" w:rsidRDefault="004839B7" w:rsidP="00224253">
            <w:pPr>
              <w:rPr>
                <w:sz w:val="22"/>
                <w:szCs w:val="22"/>
              </w:rPr>
            </w:pPr>
            <w:r w:rsidRPr="00441851">
              <w:rPr>
                <w:sz w:val="22"/>
                <w:szCs w:val="22"/>
              </w:rPr>
              <w:t>Date</w:t>
            </w:r>
          </w:p>
        </w:tc>
        <w:tc>
          <w:tcPr>
            <w:tcW w:w="5582" w:type="dxa"/>
            <w:tcBorders>
              <w:bottom w:val="single" w:sz="4" w:space="0" w:color="auto"/>
            </w:tcBorders>
            <w:noWrap/>
            <w:hideMark/>
          </w:tcPr>
          <w:p w14:paraId="2223B392" w14:textId="77777777" w:rsidR="004839B7" w:rsidRPr="00441851" w:rsidRDefault="004839B7" w:rsidP="00224253">
            <w:pPr>
              <w:rPr>
                <w:sz w:val="22"/>
                <w:szCs w:val="22"/>
              </w:rPr>
            </w:pPr>
            <w:r w:rsidRPr="00441851">
              <w:rPr>
                <w:sz w:val="22"/>
                <w:szCs w:val="22"/>
              </w:rPr>
              <w:t>Topic</w:t>
            </w:r>
          </w:p>
        </w:tc>
        <w:tc>
          <w:tcPr>
            <w:tcW w:w="2520" w:type="dxa"/>
            <w:tcBorders>
              <w:bottom w:val="single" w:sz="4" w:space="0" w:color="auto"/>
            </w:tcBorders>
            <w:noWrap/>
            <w:hideMark/>
          </w:tcPr>
          <w:p w14:paraId="4EACAA80" w14:textId="77777777" w:rsidR="004839B7" w:rsidRPr="00441851" w:rsidRDefault="004839B7" w:rsidP="00224253">
            <w:pPr>
              <w:rPr>
                <w:sz w:val="22"/>
                <w:szCs w:val="22"/>
              </w:rPr>
            </w:pPr>
            <w:r w:rsidRPr="00441851">
              <w:rPr>
                <w:sz w:val="22"/>
                <w:szCs w:val="22"/>
              </w:rPr>
              <w:t>Assignment</w:t>
            </w:r>
          </w:p>
        </w:tc>
      </w:tr>
      <w:tr w:rsidR="004839B7" w:rsidRPr="00441851" w14:paraId="3CD39707" w14:textId="77777777" w:rsidTr="00224253">
        <w:trPr>
          <w:trHeight w:val="288"/>
          <w:jc w:val="center"/>
        </w:trPr>
        <w:tc>
          <w:tcPr>
            <w:tcW w:w="630" w:type="dxa"/>
            <w:tcBorders>
              <w:top w:val="single" w:sz="4" w:space="0" w:color="auto"/>
              <w:bottom w:val="dotted" w:sz="4" w:space="0" w:color="auto"/>
            </w:tcBorders>
            <w:noWrap/>
            <w:hideMark/>
          </w:tcPr>
          <w:p w14:paraId="4CA9D5A6" w14:textId="77777777" w:rsidR="004839B7" w:rsidRPr="00441851" w:rsidRDefault="004839B7" w:rsidP="00224253">
            <w:pPr>
              <w:jc w:val="center"/>
              <w:rPr>
                <w:sz w:val="22"/>
                <w:szCs w:val="22"/>
              </w:rPr>
            </w:pPr>
            <w:r w:rsidRPr="00441851">
              <w:rPr>
                <w:sz w:val="22"/>
                <w:szCs w:val="22"/>
              </w:rPr>
              <w:t>1</w:t>
            </w:r>
          </w:p>
        </w:tc>
        <w:tc>
          <w:tcPr>
            <w:tcW w:w="812" w:type="dxa"/>
            <w:tcBorders>
              <w:top w:val="single" w:sz="4" w:space="0" w:color="auto"/>
              <w:bottom w:val="dotted" w:sz="4" w:space="0" w:color="auto"/>
            </w:tcBorders>
            <w:noWrap/>
            <w:hideMark/>
          </w:tcPr>
          <w:p w14:paraId="2A760DBC" w14:textId="3CC58962" w:rsidR="004839B7" w:rsidRPr="00441851" w:rsidRDefault="004839B7" w:rsidP="00224253">
            <w:pPr>
              <w:rPr>
                <w:sz w:val="22"/>
                <w:szCs w:val="22"/>
              </w:rPr>
            </w:pPr>
            <w:r w:rsidRPr="00441851">
              <w:rPr>
                <w:sz w:val="22"/>
                <w:szCs w:val="22"/>
              </w:rPr>
              <w:t>8/2</w:t>
            </w:r>
            <w:r w:rsidR="005C17D5">
              <w:rPr>
                <w:sz w:val="22"/>
                <w:szCs w:val="22"/>
              </w:rPr>
              <w:t>2</w:t>
            </w:r>
          </w:p>
        </w:tc>
        <w:tc>
          <w:tcPr>
            <w:tcW w:w="5582" w:type="dxa"/>
            <w:tcBorders>
              <w:top w:val="single" w:sz="4" w:space="0" w:color="auto"/>
              <w:bottom w:val="dotted" w:sz="4" w:space="0" w:color="auto"/>
            </w:tcBorders>
            <w:noWrap/>
            <w:hideMark/>
          </w:tcPr>
          <w:p w14:paraId="0DF9A344" w14:textId="77777777" w:rsidR="004839B7" w:rsidRPr="00441851" w:rsidRDefault="004839B7" w:rsidP="00224253">
            <w:pPr>
              <w:rPr>
                <w:sz w:val="22"/>
                <w:szCs w:val="22"/>
              </w:rPr>
            </w:pPr>
            <w:r w:rsidRPr="00441851">
              <w:rPr>
                <w:sz w:val="22"/>
                <w:szCs w:val="22"/>
              </w:rPr>
              <w:t>Introduction</w:t>
            </w:r>
          </w:p>
        </w:tc>
        <w:tc>
          <w:tcPr>
            <w:tcW w:w="2520" w:type="dxa"/>
            <w:tcBorders>
              <w:top w:val="single" w:sz="4" w:space="0" w:color="auto"/>
              <w:bottom w:val="dotted" w:sz="4" w:space="0" w:color="auto"/>
            </w:tcBorders>
            <w:noWrap/>
            <w:hideMark/>
          </w:tcPr>
          <w:p w14:paraId="3CF9237F" w14:textId="77777777" w:rsidR="004839B7" w:rsidRPr="00441851" w:rsidRDefault="004839B7" w:rsidP="00224253">
            <w:pPr>
              <w:rPr>
                <w:sz w:val="22"/>
                <w:szCs w:val="22"/>
              </w:rPr>
            </w:pPr>
          </w:p>
        </w:tc>
      </w:tr>
      <w:tr w:rsidR="004839B7" w:rsidRPr="00441851" w14:paraId="2B2160E2" w14:textId="77777777" w:rsidTr="00224253">
        <w:trPr>
          <w:trHeight w:val="288"/>
          <w:jc w:val="center"/>
        </w:trPr>
        <w:tc>
          <w:tcPr>
            <w:tcW w:w="630" w:type="dxa"/>
            <w:tcBorders>
              <w:top w:val="dotted" w:sz="4" w:space="0" w:color="auto"/>
              <w:bottom w:val="dotted" w:sz="4" w:space="0" w:color="auto"/>
            </w:tcBorders>
            <w:noWrap/>
            <w:hideMark/>
          </w:tcPr>
          <w:p w14:paraId="1C55C3DB" w14:textId="77777777" w:rsidR="004839B7" w:rsidRPr="00441851" w:rsidRDefault="004839B7" w:rsidP="00224253">
            <w:pPr>
              <w:jc w:val="center"/>
              <w:rPr>
                <w:sz w:val="22"/>
                <w:szCs w:val="22"/>
              </w:rPr>
            </w:pPr>
            <w:r w:rsidRPr="00441851">
              <w:rPr>
                <w:sz w:val="22"/>
                <w:szCs w:val="22"/>
              </w:rPr>
              <w:t>2</w:t>
            </w:r>
          </w:p>
        </w:tc>
        <w:tc>
          <w:tcPr>
            <w:tcW w:w="812" w:type="dxa"/>
            <w:tcBorders>
              <w:top w:val="dotted" w:sz="4" w:space="0" w:color="auto"/>
              <w:bottom w:val="dotted" w:sz="4" w:space="0" w:color="auto"/>
            </w:tcBorders>
            <w:noWrap/>
            <w:hideMark/>
          </w:tcPr>
          <w:p w14:paraId="21477A02" w14:textId="4C3F72EA" w:rsidR="004839B7" w:rsidRPr="00441851" w:rsidRDefault="004839B7" w:rsidP="00224253">
            <w:pPr>
              <w:rPr>
                <w:sz w:val="22"/>
                <w:szCs w:val="22"/>
              </w:rPr>
            </w:pPr>
            <w:r w:rsidRPr="00441851">
              <w:rPr>
                <w:sz w:val="22"/>
                <w:szCs w:val="22"/>
              </w:rPr>
              <w:t>8/2</w:t>
            </w:r>
            <w:r w:rsidR="005C17D5">
              <w:rPr>
                <w:sz w:val="22"/>
                <w:szCs w:val="22"/>
              </w:rPr>
              <w:t>4</w:t>
            </w:r>
          </w:p>
        </w:tc>
        <w:tc>
          <w:tcPr>
            <w:tcW w:w="5582" w:type="dxa"/>
            <w:tcBorders>
              <w:top w:val="dotted" w:sz="4" w:space="0" w:color="auto"/>
              <w:bottom w:val="dotted" w:sz="4" w:space="0" w:color="auto"/>
            </w:tcBorders>
            <w:noWrap/>
            <w:hideMark/>
          </w:tcPr>
          <w:p w14:paraId="4E206336" w14:textId="77777777" w:rsidR="004839B7" w:rsidRPr="00441851" w:rsidRDefault="004839B7" w:rsidP="00224253">
            <w:pPr>
              <w:rPr>
                <w:sz w:val="22"/>
                <w:szCs w:val="22"/>
              </w:rPr>
            </w:pPr>
            <w:r w:rsidRPr="00441851">
              <w:rPr>
                <w:sz w:val="22"/>
                <w:szCs w:val="22"/>
              </w:rPr>
              <w:t>Institutions (Acemoglu, Johnson &amp; Robinson 2001)</w:t>
            </w:r>
          </w:p>
        </w:tc>
        <w:tc>
          <w:tcPr>
            <w:tcW w:w="2520" w:type="dxa"/>
            <w:tcBorders>
              <w:top w:val="dotted" w:sz="4" w:space="0" w:color="auto"/>
              <w:bottom w:val="dotted" w:sz="4" w:space="0" w:color="auto"/>
            </w:tcBorders>
            <w:noWrap/>
            <w:hideMark/>
          </w:tcPr>
          <w:p w14:paraId="4B8AE935" w14:textId="77777777" w:rsidR="004839B7" w:rsidRPr="00441851" w:rsidRDefault="004839B7" w:rsidP="00224253">
            <w:pPr>
              <w:rPr>
                <w:sz w:val="22"/>
                <w:szCs w:val="22"/>
              </w:rPr>
            </w:pPr>
          </w:p>
        </w:tc>
      </w:tr>
      <w:tr w:rsidR="004839B7" w:rsidRPr="00441851" w14:paraId="38DB4D37" w14:textId="77777777" w:rsidTr="00224253">
        <w:trPr>
          <w:trHeight w:val="288"/>
          <w:jc w:val="center"/>
        </w:trPr>
        <w:tc>
          <w:tcPr>
            <w:tcW w:w="630" w:type="dxa"/>
            <w:tcBorders>
              <w:top w:val="dotted" w:sz="4" w:space="0" w:color="auto"/>
              <w:bottom w:val="dotted" w:sz="4" w:space="0" w:color="auto"/>
            </w:tcBorders>
            <w:noWrap/>
            <w:hideMark/>
          </w:tcPr>
          <w:p w14:paraId="3A8E94A5" w14:textId="77777777" w:rsidR="004839B7" w:rsidRPr="00441851" w:rsidRDefault="004839B7" w:rsidP="00224253">
            <w:pPr>
              <w:jc w:val="center"/>
              <w:rPr>
                <w:sz w:val="22"/>
                <w:szCs w:val="22"/>
              </w:rPr>
            </w:pPr>
            <w:r w:rsidRPr="00441851">
              <w:rPr>
                <w:sz w:val="22"/>
                <w:szCs w:val="22"/>
              </w:rPr>
              <w:lastRenderedPageBreak/>
              <w:t>3</w:t>
            </w:r>
          </w:p>
        </w:tc>
        <w:tc>
          <w:tcPr>
            <w:tcW w:w="812" w:type="dxa"/>
            <w:tcBorders>
              <w:top w:val="dotted" w:sz="4" w:space="0" w:color="auto"/>
              <w:bottom w:val="dotted" w:sz="4" w:space="0" w:color="auto"/>
            </w:tcBorders>
            <w:noWrap/>
            <w:hideMark/>
          </w:tcPr>
          <w:p w14:paraId="0AE94FEB" w14:textId="2731DF4A" w:rsidR="004839B7" w:rsidRPr="00441851" w:rsidRDefault="004839B7" w:rsidP="00224253">
            <w:pPr>
              <w:rPr>
                <w:sz w:val="22"/>
                <w:szCs w:val="22"/>
              </w:rPr>
            </w:pPr>
            <w:r w:rsidRPr="00441851">
              <w:rPr>
                <w:sz w:val="22"/>
                <w:szCs w:val="22"/>
              </w:rPr>
              <w:t>8/</w:t>
            </w:r>
            <w:r w:rsidR="005C17D5">
              <w:rPr>
                <w:sz w:val="22"/>
                <w:szCs w:val="22"/>
              </w:rPr>
              <w:t>29</w:t>
            </w:r>
          </w:p>
        </w:tc>
        <w:tc>
          <w:tcPr>
            <w:tcW w:w="5582" w:type="dxa"/>
            <w:tcBorders>
              <w:top w:val="dotted" w:sz="4" w:space="0" w:color="auto"/>
              <w:bottom w:val="dotted" w:sz="4" w:space="0" w:color="auto"/>
            </w:tcBorders>
            <w:noWrap/>
          </w:tcPr>
          <w:p w14:paraId="33AB92E9" w14:textId="77777777" w:rsidR="004839B7" w:rsidRPr="00441851" w:rsidRDefault="004839B7" w:rsidP="00224253">
            <w:pPr>
              <w:rPr>
                <w:sz w:val="22"/>
                <w:szCs w:val="22"/>
              </w:rPr>
            </w:pPr>
            <w:r w:rsidRPr="00441851">
              <w:rPr>
                <w:sz w:val="22"/>
                <w:szCs w:val="22"/>
              </w:rPr>
              <w:t>Institutions (Dell 2010)</w:t>
            </w:r>
          </w:p>
        </w:tc>
        <w:tc>
          <w:tcPr>
            <w:tcW w:w="2520" w:type="dxa"/>
            <w:tcBorders>
              <w:top w:val="dotted" w:sz="4" w:space="0" w:color="auto"/>
              <w:bottom w:val="dotted" w:sz="4" w:space="0" w:color="auto"/>
            </w:tcBorders>
            <w:noWrap/>
            <w:hideMark/>
          </w:tcPr>
          <w:p w14:paraId="582FB262" w14:textId="77777777" w:rsidR="004839B7" w:rsidRPr="00441851" w:rsidRDefault="004839B7" w:rsidP="00224253">
            <w:pPr>
              <w:rPr>
                <w:sz w:val="22"/>
                <w:szCs w:val="22"/>
              </w:rPr>
            </w:pPr>
          </w:p>
        </w:tc>
      </w:tr>
      <w:tr w:rsidR="004839B7" w:rsidRPr="00441851" w14:paraId="6B49786E" w14:textId="77777777" w:rsidTr="00224253">
        <w:trPr>
          <w:trHeight w:val="288"/>
          <w:jc w:val="center"/>
        </w:trPr>
        <w:tc>
          <w:tcPr>
            <w:tcW w:w="630" w:type="dxa"/>
            <w:tcBorders>
              <w:top w:val="dotted" w:sz="4" w:space="0" w:color="auto"/>
              <w:bottom w:val="dotted" w:sz="4" w:space="0" w:color="auto"/>
            </w:tcBorders>
            <w:noWrap/>
          </w:tcPr>
          <w:p w14:paraId="502E1B3C" w14:textId="77777777" w:rsidR="004839B7" w:rsidRPr="00441851" w:rsidRDefault="004839B7" w:rsidP="00224253">
            <w:pPr>
              <w:jc w:val="center"/>
              <w:rPr>
                <w:sz w:val="22"/>
                <w:szCs w:val="22"/>
              </w:rPr>
            </w:pPr>
            <w:r w:rsidRPr="00441851">
              <w:rPr>
                <w:sz w:val="22"/>
                <w:szCs w:val="22"/>
              </w:rPr>
              <w:t>4</w:t>
            </w:r>
          </w:p>
        </w:tc>
        <w:tc>
          <w:tcPr>
            <w:tcW w:w="812" w:type="dxa"/>
            <w:tcBorders>
              <w:top w:val="dotted" w:sz="4" w:space="0" w:color="auto"/>
              <w:bottom w:val="dotted" w:sz="4" w:space="0" w:color="auto"/>
            </w:tcBorders>
            <w:noWrap/>
          </w:tcPr>
          <w:p w14:paraId="13D7A7FD" w14:textId="564F07D2" w:rsidR="004839B7" w:rsidRPr="00441851" w:rsidRDefault="005C17D5" w:rsidP="00224253">
            <w:pPr>
              <w:rPr>
                <w:sz w:val="22"/>
                <w:szCs w:val="22"/>
              </w:rPr>
            </w:pPr>
            <w:r>
              <w:rPr>
                <w:sz w:val="22"/>
                <w:szCs w:val="22"/>
              </w:rPr>
              <w:t>8</w:t>
            </w:r>
            <w:r w:rsidR="004839B7" w:rsidRPr="00441851">
              <w:rPr>
                <w:sz w:val="22"/>
                <w:szCs w:val="22"/>
              </w:rPr>
              <w:t>/</w:t>
            </w:r>
            <w:r>
              <w:rPr>
                <w:sz w:val="22"/>
                <w:szCs w:val="22"/>
              </w:rPr>
              <w:t>31</w:t>
            </w:r>
          </w:p>
        </w:tc>
        <w:tc>
          <w:tcPr>
            <w:tcW w:w="5582" w:type="dxa"/>
            <w:tcBorders>
              <w:top w:val="dotted" w:sz="4" w:space="0" w:color="auto"/>
              <w:bottom w:val="dotted" w:sz="4" w:space="0" w:color="auto"/>
            </w:tcBorders>
            <w:noWrap/>
          </w:tcPr>
          <w:p w14:paraId="53544A8F" w14:textId="0DEF9F6D" w:rsidR="004839B7" w:rsidRPr="00441851" w:rsidRDefault="006B6176" w:rsidP="00224253">
            <w:pPr>
              <w:rPr>
                <w:sz w:val="22"/>
                <w:szCs w:val="22"/>
              </w:rPr>
            </w:pPr>
            <w:r w:rsidRPr="00441851">
              <w:rPr>
                <w:sz w:val="22"/>
                <w:szCs w:val="22"/>
              </w:rPr>
              <w:t>Catch-up day</w:t>
            </w:r>
          </w:p>
        </w:tc>
        <w:tc>
          <w:tcPr>
            <w:tcW w:w="2520" w:type="dxa"/>
            <w:tcBorders>
              <w:top w:val="dotted" w:sz="4" w:space="0" w:color="auto"/>
              <w:bottom w:val="dotted" w:sz="4" w:space="0" w:color="auto"/>
            </w:tcBorders>
            <w:noWrap/>
          </w:tcPr>
          <w:p w14:paraId="63BD2BE2" w14:textId="77777777" w:rsidR="004839B7" w:rsidRPr="00441851" w:rsidRDefault="004839B7" w:rsidP="00224253">
            <w:pPr>
              <w:rPr>
                <w:sz w:val="22"/>
                <w:szCs w:val="22"/>
              </w:rPr>
            </w:pPr>
          </w:p>
        </w:tc>
      </w:tr>
      <w:tr w:rsidR="006B6176" w:rsidRPr="00441851" w14:paraId="3109FB64" w14:textId="77777777" w:rsidTr="00224253">
        <w:trPr>
          <w:trHeight w:val="288"/>
          <w:jc w:val="center"/>
        </w:trPr>
        <w:tc>
          <w:tcPr>
            <w:tcW w:w="630" w:type="dxa"/>
            <w:tcBorders>
              <w:top w:val="dotted" w:sz="4" w:space="0" w:color="auto"/>
              <w:bottom w:val="dotted" w:sz="4" w:space="0" w:color="auto"/>
            </w:tcBorders>
            <w:noWrap/>
          </w:tcPr>
          <w:p w14:paraId="7C9E1369" w14:textId="77777777" w:rsidR="006B6176" w:rsidRPr="00441851" w:rsidRDefault="006B6176" w:rsidP="006B6176">
            <w:pPr>
              <w:jc w:val="center"/>
              <w:rPr>
                <w:sz w:val="22"/>
                <w:szCs w:val="22"/>
              </w:rPr>
            </w:pPr>
            <w:r w:rsidRPr="00441851">
              <w:rPr>
                <w:sz w:val="22"/>
                <w:szCs w:val="22"/>
              </w:rPr>
              <w:t>5</w:t>
            </w:r>
          </w:p>
        </w:tc>
        <w:tc>
          <w:tcPr>
            <w:tcW w:w="812" w:type="dxa"/>
            <w:tcBorders>
              <w:top w:val="dotted" w:sz="4" w:space="0" w:color="auto"/>
              <w:bottom w:val="dotted" w:sz="4" w:space="0" w:color="auto"/>
            </w:tcBorders>
            <w:noWrap/>
          </w:tcPr>
          <w:p w14:paraId="575BA24C" w14:textId="653E3942" w:rsidR="006B6176" w:rsidRPr="00441851" w:rsidRDefault="006B6176" w:rsidP="006B6176">
            <w:pPr>
              <w:rPr>
                <w:sz w:val="22"/>
                <w:szCs w:val="22"/>
              </w:rPr>
            </w:pPr>
            <w:r w:rsidRPr="00441851">
              <w:rPr>
                <w:sz w:val="22"/>
                <w:szCs w:val="22"/>
              </w:rPr>
              <w:t>9/</w:t>
            </w:r>
            <w:r w:rsidR="005C17D5">
              <w:rPr>
                <w:sz w:val="22"/>
                <w:szCs w:val="22"/>
              </w:rPr>
              <w:t>5</w:t>
            </w:r>
          </w:p>
        </w:tc>
        <w:tc>
          <w:tcPr>
            <w:tcW w:w="5582" w:type="dxa"/>
            <w:tcBorders>
              <w:top w:val="dotted" w:sz="4" w:space="0" w:color="auto"/>
              <w:bottom w:val="dotted" w:sz="4" w:space="0" w:color="auto"/>
            </w:tcBorders>
            <w:noWrap/>
          </w:tcPr>
          <w:p w14:paraId="716E20E3" w14:textId="1F62C045" w:rsidR="006B6176" w:rsidRPr="00441851" w:rsidRDefault="006B6176" w:rsidP="006B6176">
            <w:pPr>
              <w:rPr>
                <w:sz w:val="22"/>
                <w:szCs w:val="22"/>
              </w:rPr>
            </w:pPr>
            <w:r w:rsidRPr="00441851">
              <w:rPr>
                <w:sz w:val="22"/>
                <w:szCs w:val="22"/>
              </w:rPr>
              <w:t>Corruption (</w:t>
            </w:r>
            <w:proofErr w:type="spellStart"/>
            <w:r w:rsidRPr="00441851">
              <w:rPr>
                <w:sz w:val="22"/>
                <w:szCs w:val="22"/>
              </w:rPr>
              <w:t>Ferraz</w:t>
            </w:r>
            <w:proofErr w:type="spellEnd"/>
            <w:r w:rsidRPr="00441851">
              <w:rPr>
                <w:sz w:val="22"/>
                <w:szCs w:val="22"/>
              </w:rPr>
              <w:t xml:space="preserve"> &amp; </w:t>
            </w:r>
            <w:proofErr w:type="spellStart"/>
            <w:r w:rsidRPr="00441851">
              <w:rPr>
                <w:sz w:val="22"/>
                <w:szCs w:val="22"/>
              </w:rPr>
              <w:t>Finan</w:t>
            </w:r>
            <w:proofErr w:type="spellEnd"/>
            <w:r w:rsidRPr="00441851">
              <w:rPr>
                <w:sz w:val="22"/>
                <w:szCs w:val="22"/>
              </w:rPr>
              <w:t xml:space="preserve"> 2008)</w:t>
            </w:r>
          </w:p>
        </w:tc>
        <w:tc>
          <w:tcPr>
            <w:tcW w:w="2520" w:type="dxa"/>
            <w:tcBorders>
              <w:top w:val="dotted" w:sz="4" w:space="0" w:color="auto"/>
              <w:bottom w:val="dotted" w:sz="4" w:space="0" w:color="auto"/>
            </w:tcBorders>
            <w:noWrap/>
          </w:tcPr>
          <w:p w14:paraId="28F09828" w14:textId="77777777" w:rsidR="006B6176" w:rsidRPr="00441851" w:rsidRDefault="006B6176" w:rsidP="006B6176">
            <w:pPr>
              <w:rPr>
                <w:sz w:val="22"/>
                <w:szCs w:val="22"/>
              </w:rPr>
            </w:pPr>
          </w:p>
        </w:tc>
      </w:tr>
      <w:tr w:rsidR="006B6176" w:rsidRPr="00441851" w14:paraId="376BB33A" w14:textId="77777777" w:rsidTr="00224253">
        <w:trPr>
          <w:trHeight w:val="288"/>
          <w:jc w:val="center"/>
        </w:trPr>
        <w:tc>
          <w:tcPr>
            <w:tcW w:w="630" w:type="dxa"/>
            <w:tcBorders>
              <w:top w:val="dotted" w:sz="4" w:space="0" w:color="auto"/>
              <w:bottom w:val="dotted" w:sz="4" w:space="0" w:color="auto"/>
            </w:tcBorders>
            <w:noWrap/>
            <w:hideMark/>
          </w:tcPr>
          <w:p w14:paraId="66FE0265" w14:textId="77777777" w:rsidR="006B6176" w:rsidRPr="00441851" w:rsidRDefault="006B6176" w:rsidP="006B6176">
            <w:pPr>
              <w:jc w:val="center"/>
              <w:rPr>
                <w:sz w:val="22"/>
                <w:szCs w:val="22"/>
              </w:rPr>
            </w:pPr>
            <w:r w:rsidRPr="00441851">
              <w:rPr>
                <w:sz w:val="22"/>
                <w:szCs w:val="22"/>
              </w:rPr>
              <w:t>6</w:t>
            </w:r>
          </w:p>
        </w:tc>
        <w:tc>
          <w:tcPr>
            <w:tcW w:w="812" w:type="dxa"/>
            <w:tcBorders>
              <w:top w:val="dotted" w:sz="4" w:space="0" w:color="auto"/>
              <w:bottom w:val="dotted" w:sz="4" w:space="0" w:color="auto"/>
            </w:tcBorders>
            <w:noWrap/>
          </w:tcPr>
          <w:p w14:paraId="39AEB914" w14:textId="77751C85" w:rsidR="006B6176" w:rsidRPr="00441851" w:rsidRDefault="006B6176" w:rsidP="006B6176">
            <w:pPr>
              <w:rPr>
                <w:sz w:val="22"/>
                <w:szCs w:val="22"/>
              </w:rPr>
            </w:pPr>
            <w:r w:rsidRPr="00441851">
              <w:rPr>
                <w:sz w:val="22"/>
                <w:szCs w:val="22"/>
              </w:rPr>
              <w:t>9/</w:t>
            </w:r>
            <w:r w:rsidR="005C17D5">
              <w:rPr>
                <w:sz w:val="22"/>
                <w:szCs w:val="22"/>
              </w:rPr>
              <w:t>7</w:t>
            </w:r>
          </w:p>
        </w:tc>
        <w:tc>
          <w:tcPr>
            <w:tcW w:w="5582" w:type="dxa"/>
            <w:tcBorders>
              <w:top w:val="dotted" w:sz="4" w:space="0" w:color="auto"/>
              <w:bottom w:val="dotted" w:sz="4" w:space="0" w:color="auto"/>
            </w:tcBorders>
            <w:noWrap/>
          </w:tcPr>
          <w:p w14:paraId="7EFF0CAD" w14:textId="2DD71F0B" w:rsidR="006B6176" w:rsidRPr="00441851" w:rsidRDefault="006B6176" w:rsidP="006B6176">
            <w:pPr>
              <w:rPr>
                <w:sz w:val="22"/>
                <w:szCs w:val="22"/>
              </w:rPr>
            </w:pPr>
            <w:r w:rsidRPr="00441851">
              <w:rPr>
                <w:sz w:val="22"/>
                <w:szCs w:val="22"/>
              </w:rPr>
              <w:t>Catch-up day</w:t>
            </w:r>
          </w:p>
        </w:tc>
        <w:tc>
          <w:tcPr>
            <w:tcW w:w="2520" w:type="dxa"/>
            <w:tcBorders>
              <w:top w:val="dotted" w:sz="4" w:space="0" w:color="auto"/>
              <w:bottom w:val="dotted" w:sz="4" w:space="0" w:color="auto"/>
            </w:tcBorders>
            <w:noWrap/>
            <w:hideMark/>
          </w:tcPr>
          <w:p w14:paraId="199655F1" w14:textId="30CEBC3E" w:rsidR="006B6176" w:rsidRPr="00441851" w:rsidRDefault="006B6176" w:rsidP="006B6176">
            <w:pPr>
              <w:rPr>
                <w:sz w:val="22"/>
                <w:szCs w:val="22"/>
              </w:rPr>
            </w:pPr>
          </w:p>
        </w:tc>
      </w:tr>
      <w:tr w:rsidR="006B6176" w:rsidRPr="00441851" w14:paraId="10F317FE" w14:textId="77777777" w:rsidTr="00224253">
        <w:trPr>
          <w:trHeight w:val="288"/>
          <w:jc w:val="center"/>
        </w:trPr>
        <w:tc>
          <w:tcPr>
            <w:tcW w:w="630" w:type="dxa"/>
            <w:tcBorders>
              <w:top w:val="dotted" w:sz="4" w:space="0" w:color="auto"/>
              <w:bottom w:val="dotted" w:sz="4" w:space="0" w:color="auto"/>
            </w:tcBorders>
            <w:noWrap/>
            <w:hideMark/>
          </w:tcPr>
          <w:p w14:paraId="39C78625" w14:textId="77777777" w:rsidR="006B6176" w:rsidRPr="00441851" w:rsidRDefault="006B6176" w:rsidP="006B6176">
            <w:pPr>
              <w:jc w:val="center"/>
              <w:rPr>
                <w:sz w:val="22"/>
                <w:szCs w:val="22"/>
              </w:rPr>
            </w:pPr>
            <w:r w:rsidRPr="00441851">
              <w:rPr>
                <w:sz w:val="22"/>
                <w:szCs w:val="22"/>
              </w:rPr>
              <w:t>7</w:t>
            </w:r>
          </w:p>
        </w:tc>
        <w:tc>
          <w:tcPr>
            <w:tcW w:w="812" w:type="dxa"/>
            <w:tcBorders>
              <w:top w:val="dotted" w:sz="4" w:space="0" w:color="auto"/>
              <w:bottom w:val="dotted" w:sz="4" w:space="0" w:color="auto"/>
            </w:tcBorders>
            <w:noWrap/>
          </w:tcPr>
          <w:p w14:paraId="36721D9F" w14:textId="7B35D2A6" w:rsidR="006B6176" w:rsidRPr="00441851" w:rsidRDefault="006B6176" w:rsidP="006B6176">
            <w:pPr>
              <w:rPr>
                <w:sz w:val="22"/>
                <w:szCs w:val="22"/>
              </w:rPr>
            </w:pPr>
            <w:r w:rsidRPr="00441851">
              <w:rPr>
                <w:sz w:val="22"/>
                <w:szCs w:val="22"/>
              </w:rPr>
              <w:t>9/1</w:t>
            </w:r>
            <w:r w:rsidR="005C17D5">
              <w:rPr>
                <w:sz w:val="22"/>
                <w:szCs w:val="22"/>
              </w:rPr>
              <w:t>2</w:t>
            </w:r>
          </w:p>
        </w:tc>
        <w:tc>
          <w:tcPr>
            <w:tcW w:w="5582" w:type="dxa"/>
            <w:tcBorders>
              <w:top w:val="dotted" w:sz="4" w:space="0" w:color="auto"/>
              <w:bottom w:val="dotted" w:sz="4" w:space="0" w:color="auto"/>
            </w:tcBorders>
            <w:noWrap/>
          </w:tcPr>
          <w:p w14:paraId="52E730FB" w14:textId="71791E84" w:rsidR="006B6176" w:rsidRPr="00441851" w:rsidRDefault="006B6176" w:rsidP="006B6176">
            <w:pPr>
              <w:rPr>
                <w:sz w:val="22"/>
                <w:szCs w:val="22"/>
              </w:rPr>
            </w:pPr>
            <w:r w:rsidRPr="00441851">
              <w:rPr>
                <w:sz w:val="22"/>
                <w:szCs w:val="22"/>
              </w:rPr>
              <w:t>Conflict (Dell &amp; Querubin 2018)</w:t>
            </w:r>
          </w:p>
        </w:tc>
        <w:tc>
          <w:tcPr>
            <w:tcW w:w="2520" w:type="dxa"/>
            <w:tcBorders>
              <w:top w:val="dotted" w:sz="4" w:space="0" w:color="auto"/>
              <w:bottom w:val="dotted" w:sz="4" w:space="0" w:color="auto"/>
            </w:tcBorders>
            <w:noWrap/>
            <w:hideMark/>
          </w:tcPr>
          <w:p w14:paraId="0A4EED52" w14:textId="4E94A7F0" w:rsidR="006B6176" w:rsidRPr="00441851" w:rsidRDefault="006B6176" w:rsidP="006B6176">
            <w:pPr>
              <w:rPr>
                <w:sz w:val="22"/>
                <w:szCs w:val="22"/>
              </w:rPr>
            </w:pPr>
            <w:r w:rsidRPr="00441851">
              <w:rPr>
                <w:sz w:val="22"/>
                <w:szCs w:val="22"/>
              </w:rPr>
              <w:t>Presentation</w:t>
            </w:r>
          </w:p>
        </w:tc>
      </w:tr>
      <w:tr w:rsidR="006B6176" w:rsidRPr="00441851" w14:paraId="7A2C64AC" w14:textId="77777777" w:rsidTr="00224253">
        <w:trPr>
          <w:trHeight w:val="288"/>
          <w:jc w:val="center"/>
        </w:trPr>
        <w:tc>
          <w:tcPr>
            <w:tcW w:w="630" w:type="dxa"/>
            <w:tcBorders>
              <w:top w:val="dotted" w:sz="4" w:space="0" w:color="auto"/>
              <w:bottom w:val="dotted" w:sz="4" w:space="0" w:color="auto"/>
            </w:tcBorders>
            <w:noWrap/>
            <w:hideMark/>
          </w:tcPr>
          <w:p w14:paraId="58EC1D66" w14:textId="77777777" w:rsidR="006B6176" w:rsidRPr="00441851" w:rsidRDefault="006B6176" w:rsidP="006B6176">
            <w:pPr>
              <w:jc w:val="center"/>
              <w:rPr>
                <w:sz w:val="22"/>
                <w:szCs w:val="22"/>
              </w:rPr>
            </w:pPr>
            <w:r w:rsidRPr="00441851">
              <w:rPr>
                <w:sz w:val="22"/>
                <w:szCs w:val="22"/>
              </w:rPr>
              <w:t>8</w:t>
            </w:r>
          </w:p>
        </w:tc>
        <w:tc>
          <w:tcPr>
            <w:tcW w:w="812" w:type="dxa"/>
            <w:tcBorders>
              <w:top w:val="dotted" w:sz="4" w:space="0" w:color="auto"/>
              <w:bottom w:val="dotted" w:sz="4" w:space="0" w:color="auto"/>
            </w:tcBorders>
            <w:noWrap/>
          </w:tcPr>
          <w:p w14:paraId="7530BFBF" w14:textId="3FD01F24" w:rsidR="006B6176" w:rsidRPr="00441851" w:rsidRDefault="006B6176" w:rsidP="006B6176">
            <w:pPr>
              <w:rPr>
                <w:sz w:val="22"/>
                <w:szCs w:val="22"/>
              </w:rPr>
            </w:pPr>
            <w:r w:rsidRPr="00441851">
              <w:rPr>
                <w:sz w:val="22"/>
                <w:szCs w:val="22"/>
              </w:rPr>
              <w:t>9/1</w:t>
            </w:r>
            <w:r w:rsidR="005C17D5">
              <w:rPr>
                <w:sz w:val="22"/>
                <w:szCs w:val="22"/>
              </w:rPr>
              <w:t>4</w:t>
            </w:r>
          </w:p>
        </w:tc>
        <w:tc>
          <w:tcPr>
            <w:tcW w:w="5582" w:type="dxa"/>
            <w:tcBorders>
              <w:top w:val="dotted" w:sz="4" w:space="0" w:color="auto"/>
              <w:bottom w:val="dotted" w:sz="4" w:space="0" w:color="auto"/>
            </w:tcBorders>
            <w:noWrap/>
          </w:tcPr>
          <w:p w14:paraId="6A38FF97" w14:textId="44287D5B" w:rsidR="006B6176" w:rsidRPr="00441851" w:rsidRDefault="006B6176" w:rsidP="006B6176">
            <w:pPr>
              <w:rPr>
                <w:sz w:val="22"/>
                <w:szCs w:val="22"/>
              </w:rPr>
            </w:pPr>
            <w:r w:rsidRPr="00441851">
              <w:rPr>
                <w:sz w:val="22"/>
                <w:szCs w:val="22"/>
              </w:rPr>
              <w:t xml:space="preserve">Household model (Bardhan &amp; </w:t>
            </w:r>
            <w:proofErr w:type="spellStart"/>
            <w:r w:rsidRPr="00441851">
              <w:rPr>
                <w:sz w:val="22"/>
                <w:szCs w:val="22"/>
              </w:rPr>
              <w:t>Udry</w:t>
            </w:r>
            <w:proofErr w:type="spellEnd"/>
            <w:r w:rsidRPr="00441851">
              <w:rPr>
                <w:sz w:val="22"/>
                <w:szCs w:val="22"/>
              </w:rPr>
              <w:t>, Chapter 2)</w:t>
            </w:r>
          </w:p>
        </w:tc>
        <w:tc>
          <w:tcPr>
            <w:tcW w:w="2520" w:type="dxa"/>
            <w:tcBorders>
              <w:top w:val="dotted" w:sz="4" w:space="0" w:color="auto"/>
              <w:bottom w:val="dotted" w:sz="4" w:space="0" w:color="auto"/>
            </w:tcBorders>
            <w:noWrap/>
            <w:hideMark/>
          </w:tcPr>
          <w:p w14:paraId="27B231C7" w14:textId="3A7BF647" w:rsidR="006B6176" w:rsidRPr="00441851" w:rsidRDefault="006B6176" w:rsidP="006B6176">
            <w:pPr>
              <w:rPr>
                <w:sz w:val="22"/>
                <w:szCs w:val="22"/>
              </w:rPr>
            </w:pPr>
          </w:p>
        </w:tc>
      </w:tr>
      <w:tr w:rsidR="006B6176" w:rsidRPr="00441851" w14:paraId="66D80839" w14:textId="77777777" w:rsidTr="00224253">
        <w:trPr>
          <w:trHeight w:val="288"/>
          <w:jc w:val="center"/>
        </w:trPr>
        <w:tc>
          <w:tcPr>
            <w:tcW w:w="630" w:type="dxa"/>
            <w:tcBorders>
              <w:top w:val="dotted" w:sz="4" w:space="0" w:color="auto"/>
              <w:bottom w:val="dotted" w:sz="4" w:space="0" w:color="auto"/>
            </w:tcBorders>
            <w:noWrap/>
          </w:tcPr>
          <w:p w14:paraId="141F2255" w14:textId="77777777" w:rsidR="006B6176" w:rsidRPr="00441851" w:rsidRDefault="006B6176" w:rsidP="006B6176">
            <w:pPr>
              <w:jc w:val="center"/>
              <w:rPr>
                <w:sz w:val="22"/>
                <w:szCs w:val="22"/>
              </w:rPr>
            </w:pPr>
            <w:r w:rsidRPr="00441851">
              <w:rPr>
                <w:sz w:val="22"/>
                <w:szCs w:val="22"/>
              </w:rPr>
              <w:t>9</w:t>
            </w:r>
          </w:p>
        </w:tc>
        <w:tc>
          <w:tcPr>
            <w:tcW w:w="812" w:type="dxa"/>
            <w:tcBorders>
              <w:top w:val="dotted" w:sz="4" w:space="0" w:color="auto"/>
              <w:bottom w:val="dotted" w:sz="4" w:space="0" w:color="auto"/>
            </w:tcBorders>
            <w:noWrap/>
          </w:tcPr>
          <w:p w14:paraId="0974D67F" w14:textId="1DED9B97" w:rsidR="006B6176" w:rsidRPr="00441851" w:rsidRDefault="006B6176" w:rsidP="006B6176">
            <w:pPr>
              <w:rPr>
                <w:sz w:val="22"/>
                <w:szCs w:val="22"/>
              </w:rPr>
            </w:pPr>
            <w:r w:rsidRPr="00441851">
              <w:rPr>
                <w:sz w:val="22"/>
                <w:szCs w:val="22"/>
              </w:rPr>
              <w:t>9/</w:t>
            </w:r>
            <w:r w:rsidR="005C17D5">
              <w:rPr>
                <w:sz w:val="22"/>
                <w:szCs w:val="22"/>
              </w:rPr>
              <w:t>19</w:t>
            </w:r>
          </w:p>
        </w:tc>
        <w:tc>
          <w:tcPr>
            <w:tcW w:w="5582" w:type="dxa"/>
            <w:tcBorders>
              <w:top w:val="dotted" w:sz="4" w:space="0" w:color="auto"/>
              <w:bottom w:val="dotted" w:sz="4" w:space="0" w:color="auto"/>
            </w:tcBorders>
            <w:noWrap/>
          </w:tcPr>
          <w:p w14:paraId="625581C7" w14:textId="0CA2C1BB" w:rsidR="006B6176" w:rsidRPr="00441851" w:rsidRDefault="006B6176" w:rsidP="006B6176">
            <w:pPr>
              <w:rPr>
                <w:sz w:val="22"/>
                <w:szCs w:val="22"/>
              </w:rPr>
            </w:pPr>
            <w:r w:rsidRPr="00441851">
              <w:rPr>
                <w:sz w:val="22"/>
                <w:szCs w:val="22"/>
              </w:rPr>
              <w:t>Informal insurance (Townsend 1994)</w:t>
            </w:r>
          </w:p>
        </w:tc>
        <w:tc>
          <w:tcPr>
            <w:tcW w:w="2520" w:type="dxa"/>
            <w:tcBorders>
              <w:top w:val="dotted" w:sz="4" w:space="0" w:color="auto"/>
              <w:bottom w:val="dotted" w:sz="4" w:space="0" w:color="auto"/>
            </w:tcBorders>
            <w:noWrap/>
          </w:tcPr>
          <w:p w14:paraId="05609F9D" w14:textId="77777777" w:rsidR="006B6176" w:rsidRPr="00441851" w:rsidRDefault="006B6176" w:rsidP="006B6176">
            <w:pPr>
              <w:rPr>
                <w:sz w:val="22"/>
                <w:szCs w:val="22"/>
              </w:rPr>
            </w:pPr>
          </w:p>
        </w:tc>
      </w:tr>
      <w:tr w:rsidR="006B6176" w:rsidRPr="00441851" w14:paraId="34A73AE7" w14:textId="77777777" w:rsidTr="00224253">
        <w:trPr>
          <w:trHeight w:val="288"/>
          <w:jc w:val="center"/>
        </w:trPr>
        <w:tc>
          <w:tcPr>
            <w:tcW w:w="630" w:type="dxa"/>
            <w:tcBorders>
              <w:top w:val="dotted" w:sz="4" w:space="0" w:color="auto"/>
              <w:bottom w:val="dotted" w:sz="4" w:space="0" w:color="auto"/>
            </w:tcBorders>
            <w:noWrap/>
            <w:hideMark/>
          </w:tcPr>
          <w:p w14:paraId="08C069C6" w14:textId="77777777" w:rsidR="006B6176" w:rsidRPr="00441851" w:rsidRDefault="006B6176" w:rsidP="006B6176">
            <w:pPr>
              <w:jc w:val="center"/>
              <w:rPr>
                <w:sz w:val="22"/>
                <w:szCs w:val="22"/>
              </w:rPr>
            </w:pPr>
            <w:r w:rsidRPr="00441851">
              <w:rPr>
                <w:sz w:val="22"/>
                <w:szCs w:val="22"/>
              </w:rPr>
              <w:t>10</w:t>
            </w:r>
          </w:p>
        </w:tc>
        <w:tc>
          <w:tcPr>
            <w:tcW w:w="812" w:type="dxa"/>
            <w:tcBorders>
              <w:top w:val="dotted" w:sz="4" w:space="0" w:color="auto"/>
              <w:bottom w:val="dotted" w:sz="4" w:space="0" w:color="auto"/>
            </w:tcBorders>
            <w:noWrap/>
          </w:tcPr>
          <w:p w14:paraId="58A67618" w14:textId="460E5DEC" w:rsidR="006B6176" w:rsidRPr="00441851" w:rsidRDefault="006B6176" w:rsidP="006B6176">
            <w:pPr>
              <w:rPr>
                <w:sz w:val="22"/>
                <w:szCs w:val="22"/>
              </w:rPr>
            </w:pPr>
            <w:r w:rsidRPr="00441851">
              <w:rPr>
                <w:sz w:val="22"/>
                <w:szCs w:val="22"/>
              </w:rPr>
              <w:t>9/2</w:t>
            </w:r>
            <w:r w:rsidR="005C17D5">
              <w:rPr>
                <w:sz w:val="22"/>
                <w:szCs w:val="22"/>
              </w:rPr>
              <w:t>1</w:t>
            </w:r>
          </w:p>
        </w:tc>
        <w:tc>
          <w:tcPr>
            <w:tcW w:w="5582" w:type="dxa"/>
            <w:tcBorders>
              <w:top w:val="dotted" w:sz="4" w:space="0" w:color="auto"/>
              <w:bottom w:val="dotted" w:sz="4" w:space="0" w:color="auto"/>
            </w:tcBorders>
            <w:noWrap/>
          </w:tcPr>
          <w:p w14:paraId="050D5429" w14:textId="276FE474" w:rsidR="006B6176" w:rsidRPr="00441851" w:rsidRDefault="005C17D5" w:rsidP="006B6176">
            <w:pPr>
              <w:rPr>
                <w:sz w:val="22"/>
                <w:szCs w:val="22"/>
              </w:rPr>
            </w:pPr>
            <w:r>
              <w:rPr>
                <w:sz w:val="22"/>
                <w:szCs w:val="22"/>
              </w:rPr>
              <w:t>No class</w:t>
            </w:r>
          </w:p>
        </w:tc>
        <w:tc>
          <w:tcPr>
            <w:tcW w:w="2520" w:type="dxa"/>
            <w:tcBorders>
              <w:top w:val="dotted" w:sz="4" w:space="0" w:color="auto"/>
              <w:bottom w:val="dotted" w:sz="4" w:space="0" w:color="auto"/>
            </w:tcBorders>
            <w:noWrap/>
          </w:tcPr>
          <w:p w14:paraId="6B624969" w14:textId="77777777" w:rsidR="006B6176" w:rsidRPr="00441851" w:rsidRDefault="006B6176" w:rsidP="006B6176">
            <w:pPr>
              <w:rPr>
                <w:sz w:val="22"/>
                <w:szCs w:val="22"/>
              </w:rPr>
            </w:pPr>
          </w:p>
        </w:tc>
      </w:tr>
      <w:tr w:rsidR="006B6176" w:rsidRPr="00441851" w14:paraId="27F52DD1" w14:textId="77777777" w:rsidTr="00224253">
        <w:trPr>
          <w:trHeight w:val="288"/>
          <w:jc w:val="center"/>
        </w:trPr>
        <w:tc>
          <w:tcPr>
            <w:tcW w:w="630" w:type="dxa"/>
            <w:tcBorders>
              <w:top w:val="dotted" w:sz="4" w:space="0" w:color="auto"/>
              <w:bottom w:val="dotted" w:sz="4" w:space="0" w:color="auto"/>
            </w:tcBorders>
            <w:noWrap/>
          </w:tcPr>
          <w:p w14:paraId="0E8B9034" w14:textId="77777777" w:rsidR="006B6176" w:rsidRPr="00441851" w:rsidRDefault="006B6176" w:rsidP="006B6176">
            <w:pPr>
              <w:jc w:val="center"/>
              <w:rPr>
                <w:sz w:val="22"/>
                <w:szCs w:val="22"/>
              </w:rPr>
            </w:pPr>
            <w:r w:rsidRPr="00441851">
              <w:rPr>
                <w:sz w:val="22"/>
                <w:szCs w:val="22"/>
              </w:rPr>
              <w:t>11</w:t>
            </w:r>
          </w:p>
        </w:tc>
        <w:tc>
          <w:tcPr>
            <w:tcW w:w="812" w:type="dxa"/>
            <w:tcBorders>
              <w:top w:val="dotted" w:sz="4" w:space="0" w:color="auto"/>
              <w:bottom w:val="dotted" w:sz="4" w:space="0" w:color="auto"/>
            </w:tcBorders>
            <w:noWrap/>
          </w:tcPr>
          <w:p w14:paraId="1B27DE07" w14:textId="20BE503A" w:rsidR="006B6176" w:rsidRPr="00441851" w:rsidRDefault="006B6176" w:rsidP="006B6176">
            <w:pPr>
              <w:rPr>
                <w:sz w:val="22"/>
                <w:szCs w:val="22"/>
              </w:rPr>
            </w:pPr>
            <w:r w:rsidRPr="00441851">
              <w:rPr>
                <w:sz w:val="22"/>
                <w:szCs w:val="22"/>
              </w:rPr>
              <w:t>9/2</w:t>
            </w:r>
            <w:r w:rsidR="005C17D5">
              <w:rPr>
                <w:sz w:val="22"/>
                <w:szCs w:val="22"/>
              </w:rPr>
              <w:t>6</w:t>
            </w:r>
          </w:p>
        </w:tc>
        <w:tc>
          <w:tcPr>
            <w:tcW w:w="5582" w:type="dxa"/>
            <w:tcBorders>
              <w:top w:val="dotted" w:sz="4" w:space="0" w:color="auto"/>
              <w:bottom w:val="dotted" w:sz="4" w:space="0" w:color="auto"/>
            </w:tcBorders>
            <w:noWrap/>
          </w:tcPr>
          <w:p w14:paraId="637D82CA" w14:textId="4A478A5C" w:rsidR="006B6176" w:rsidRPr="00441851" w:rsidRDefault="006B6176" w:rsidP="006B6176">
            <w:pPr>
              <w:rPr>
                <w:sz w:val="22"/>
                <w:szCs w:val="22"/>
              </w:rPr>
            </w:pPr>
            <w:r w:rsidRPr="00441851">
              <w:rPr>
                <w:sz w:val="22"/>
                <w:szCs w:val="22"/>
              </w:rPr>
              <w:t xml:space="preserve">Credit (Bardhan &amp; </w:t>
            </w:r>
            <w:proofErr w:type="spellStart"/>
            <w:r w:rsidRPr="00441851">
              <w:rPr>
                <w:sz w:val="22"/>
                <w:szCs w:val="22"/>
              </w:rPr>
              <w:t>Udry</w:t>
            </w:r>
            <w:proofErr w:type="spellEnd"/>
            <w:r w:rsidRPr="00441851">
              <w:rPr>
                <w:sz w:val="22"/>
                <w:szCs w:val="22"/>
              </w:rPr>
              <w:t>, Chapter 7)</w:t>
            </w:r>
          </w:p>
        </w:tc>
        <w:tc>
          <w:tcPr>
            <w:tcW w:w="2520" w:type="dxa"/>
            <w:tcBorders>
              <w:top w:val="dotted" w:sz="4" w:space="0" w:color="auto"/>
              <w:bottom w:val="dotted" w:sz="4" w:space="0" w:color="auto"/>
            </w:tcBorders>
            <w:noWrap/>
          </w:tcPr>
          <w:p w14:paraId="610F6DD3" w14:textId="77777777" w:rsidR="006B6176" w:rsidRPr="00441851" w:rsidRDefault="006B6176" w:rsidP="006B6176">
            <w:pPr>
              <w:rPr>
                <w:sz w:val="22"/>
                <w:szCs w:val="22"/>
              </w:rPr>
            </w:pPr>
          </w:p>
        </w:tc>
      </w:tr>
      <w:tr w:rsidR="006B6176" w:rsidRPr="00441851" w14:paraId="1CBE3908" w14:textId="77777777" w:rsidTr="00224253">
        <w:trPr>
          <w:trHeight w:val="288"/>
          <w:jc w:val="center"/>
        </w:trPr>
        <w:tc>
          <w:tcPr>
            <w:tcW w:w="630" w:type="dxa"/>
            <w:tcBorders>
              <w:top w:val="dotted" w:sz="4" w:space="0" w:color="auto"/>
              <w:bottom w:val="dotted" w:sz="4" w:space="0" w:color="auto"/>
            </w:tcBorders>
            <w:noWrap/>
          </w:tcPr>
          <w:p w14:paraId="03EB6F90" w14:textId="77777777" w:rsidR="006B6176" w:rsidRPr="00441851" w:rsidRDefault="006B6176" w:rsidP="006B6176">
            <w:pPr>
              <w:jc w:val="center"/>
              <w:rPr>
                <w:sz w:val="22"/>
                <w:szCs w:val="22"/>
              </w:rPr>
            </w:pPr>
            <w:r w:rsidRPr="00441851">
              <w:rPr>
                <w:sz w:val="22"/>
                <w:szCs w:val="22"/>
              </w:rPr>
              <w:t>12</w:t>
            </w:r>
          </w:p>
        </w:tc>
        <w:tc>
          <w:tcPr>
            <w:tcW w:w="812" w:type="dxa"/>
            <w:tcBorders>
              <w:top w:val="dotted" w:sz="4" w:space="0" w:color="auto"/>
              <w:bottom w:val="dotted" w:sz="4" w:space="0" w:color="auto"/>
            </w:tcBorders>
            <w:noWrap/>
          </w:tcPr>
          <w:p w14:paraId="7A23A979" w14:textId="067B022E" w:rsidR="006B6176" w:rsidRPr="00441851" w:rsidRDefault="006B6176" w:rsidP="006B6176">
            <w:pPr>
              <w:rPr>
                <w:sz w:val="22"/>
                <w:szCs w:val="22"/>
              </w:rPr>
            </w:pPr>
            <w:r w:rsidRPr="00441851">
              <w:rPr>
                <w:sz w:val="22"/>
                <w:szCs w:val="22"/>
              </w:rPr>
              <w:t>9/</w:t>
            </w:r>
            <w:r>
              <w:rPr>
                <w:sz w:val="22"/>
                <w:szCs w:val="22"/>
              </w:rPr>
              <w:t>2</w:t>
            </w:r>
            <w:r w:rsidR="005C17D5">
              <w:rPr>
                <w:sz w:val="22"/>
                <w:szCs w:val="22"/>
              </w:rPr>
              <w:t>8</w:t>
            </w:r>
          </w:p>
        </w:tc>
        <w:tc>
          <w:tcPr>
            <w:tcW w:w="5582" w:type="dxa"/>
            <w:tcBorders>
              <w:top w:val="dotted" w:sz="4" w:space="0" w:color="auto"/>
              <w:bottom w:val="dotted" w:sz="4" w:space="0" w:color="auto"/>
            </w:tcBorders>
            <w:noWrap/>
          </w:tcPr>
          <w:p w14:paraId="45296FB5" w14:textId="0308D5BD" w:rsidR="006B6176" w:rsidRPr="00441851" w:rsidRDefault="006B6176" w:rsidP="006B6176">
            <w:pPr>
              <w:rPr>
                <w:sz w:val="22"/>
                <w:szCs w:val="22"/>
              </w:rPr>
            </w:pPr>
            <w:r w:rsidRPr="00441851">
              <w:rPr>
                <w:sz w:val="22"/>
                <w:szCs w:val="22"/>
              </w:rPr>
              <w:t>Credit (</w:t>
            </w:r>
            <w:proofErr w:type="spellStart"/>
            <w:r w:rsidRPr="00441851">
              <w:rPr>
                <w:sz w:val="22"/>
                <w:szCs w:val="22"/>
              </w:rPr>
              <w:t>Karlan</w:t>
            </w:r>
            <w:proofErr w:type="spellEnd"/>
            <w:r w:rsidRPr="00441851">
              <w:rPr>
                <w:sz w:val="22"/>
                <w:szCs w:val="22"/>
              </w:rPr>
              <w:t xml:space="preserve"> &amp; </w:t>
            </w:r>
            <w:proofErr w:type="spellStart"/>
            <w:r w:rsidRPr="00441851">
              <w:rPr>
                <w:sz w:val="22"/>
                <w:szCs w:val="22"/>
              </w:rPr>
              <w:t>Zinman</w:t>
            </w:r>
            <w:proofErr w:type="spellEnd"/>
            <w:r w:rsidRPr="00441851">
              <w:rPr>
                <w:sz w:val="22"/>
                <w:szCs w:val="22"/>
              </w:rPr>
              <w:t xml:space="preserve"> 2009)</w:t>
            </w:r>
          </w:p>
        </w:tc>
        <w:tc>
          <w:tcPr>
            <w:tcW w:w="2520" w:type="dxa"/>
            <w:tcBorders>
              <w:top w:val="dotted" w:sz="4" w:space="0" w:color="auto"/>
              <w:bottom w:val="dotted" w:sz="4" w:space="0" w:color="auto"/>
            </w:tcBorders>
            <w:noWrap/>
          </w:tcPr>
          <w:p w14:paraId="61AF4A32" w14:textId="77777777" w:rsidR="006B6176" w:rsidRPr="00441851" w:rsidRDefault="006B6176" w:rsidP="006B6176">
            <w:pPr>
              <w:rPr>
                <w:sz w:val="22"/>
                <w:szCs w:val="22"/>
              </w:rPr>
            </w:pPr>
          </w:p>
        </w:tc>
      </w:tr>
      <w:tr w:rsidR="006B6176" w:rsidRPr="00441851" w14:paraId="2C8CFE26" w14:textId="77777777" w:rsidTr="00224253">
        <w:trPr>
          <w:trHeight w:val="288"/>
          <w:jc w:val="center"/>
        </w:trPr>
        <w:tc>
          <w:tcPr>
            <w:tcW w:w="630" w:type="dxa"/>
            <w:tcBorders>
              <w:top w:val="dotted" w:sz="4" w:space="0" w:color="auto"/>
              <w:bottom w:val="dotted" w:sz="4" w:space="0" w:color="auto"/>
            </w:tcBorders>
            <w:noWrap/>
            <w:hideMark/>
          </w:tcPr>
          <w:p w14:paraId="489EABB7" w14:textId="77777777" w:rsidR="006B6176" w:rsidRPr="00441851" w:rsidRDefault="006B6176" w:rsidP="006B6176">
            <w:pPr>
              <w:jc w:val="center"/>
              <w:rPr>
                <w:sz w:val="22"/>
                <w:szCs w:val="22"/>
              </w:rPr>
            </w:pPr>
            <w:r w:rsidRPr="00441851">
              <w:rPr>
                <w:sz w:val="22"/>
                <w:szCs w:val="22"/>
              </w:rPr>
              <w:t>13</w:t>
            </w:r>
          </w:p>
        </w:tc>
        <w:tc>
          <w:tcPr>
            <w:tcW w:w="812" w:type="dxa"/>
            <w:tcBorders>
              <w:top w:val="dotted" w:sz="4" w:space="0" w:color="auto"/>
              <w:bottom w:val="dotted" w:sz="4" w:space="0" w:color="auto"/>
            </w:tcBorders>
            <w:noWrap/>
          </w:tcPr>
          <w:p w14:paraId="0A2E7415" w14:textId="3F2FA8D8" w:rsidR="006B6176" w:rsidRPr="00441851" w:rsidRDefault="006B6176" w:rsidP="006B6176">
            <w:pPr>
              <w:rPr>
                <w:sz w:val="22"/>
                <w:szCs w:val="22"/>
              </w:rPr>
            </w:pPr>
            <w:r w:rsidRPr="00441851">
              <w:rPr>
                <w:sz w:val="22"/>
                <w:szCs w:val="22"/>
              </w:rPr>
              <w:t>10/</w:t>
            </w:r>
            <w:r w:rsidR="005C17D5">
              <w:rPr>
                <w:sz w:val="22"/>
                <w:szCs w:val="22"/>
              </w:rPr>
              <w:t>3</w:t>
            </w:r>
          </w:p>
        </w:tc>
        <w:tc>
          <w:tcPr>
            <w:tcW w:w="5582" w:type="dxa"/>
            <w:tcBorders>
              <w:top w:val="dotted" w:sz="4" w:space="0" w:color="auto"/>
              <w:bottom w:val="dotted" w:sz="4" w:space="0" w:color="auto"/>
            </w:tcBorders>
            <w:noWrap/>
          </w:tcPr>
          <w:p w14:paraId="332812FC" w14:textId="600DD268" w:rsidR="006B6176" w:rsidRPr="00441851" w:rsidRDefault="006B6176" w:rsidP="006B6176">
            <w:pPr>
              <w:rPr>
                <w:sz w:val="22"/>
                <w:szCs w:val="22"/>
              </w:rPr>
            </w:pPr>
            <w:r w:rsidRPr="00441851">
              <w:rPr>
                <w:sz w:val="22"/>
                <w:szCs w:val="22"/>
              </w:rPr>
              <w:t>Savings (Paxson 1992)</w:t>
            </w:r>
          </w:p>
        </w:tc>
        <w:tc>
          <w:tcPr>
            <w:tcW w:w="2520" w:type="dxa"/>
            <w:tcBorders>
              <w:top w:val="dotted" w:sz="4" w:space="0" w:color="auto"/>
              <w:bottom w:val="dotted" w:sz="4" w:space="0" w:color="auto"/>
            </w:tcBorders>
            <w:noWrap/>
          </w:tcPr>
          <w:p w14:paraId="236D20B8" w14:textId="77777777" w:rsidR="006B6176" w:rsidRPr="00441851" w:rsidRDefault="006B6176" w:rsidP="006B6176">
            <w:pPr>
              <w:rPr>
                <w:sz w:val="22"/>
                <w:szCs w:val="22"/>
              </w:rPr>
            </w:pPr>
          </w:p>
        </w:tc>
      </w:tr>
      <w:tr w:rsidR="006B6176" w:rsidRPr="00C8574A" w14:paraId="61B4832A" w14:textId="77777777" w:rsidTr="00224253">
        <w:trPr>
          <w:trHeight w:val="288"/>
          <w:jc w:val="center"/>
        </w:trPr>
        <w:tc>
          <w:tcPr>
            <w:tcW w:w="630" w:type="dxa"/>
            <w:tcBorders>
              <w:top w:val="dotted" w:sz="4" w:space="0" w:color="auto"/>
              <w:bottom w:val="dotted" w:sz="4" w:space="0" w:color="auto"/>
            </w:tcBorders>
            <w:noWrap/>
          </w:tcPr>
          <w:p w14:paraId="37FEC056" w14:textId="77777777" w:rsidR="006B6176" w:rsidRPr="00ED6CD0" w:rsidRDefault="006B6176" w:rsidP="006B6176">
            <w:pPr>
              <w:jc w:val="center"/>
              <w:rPr>
                <w:sz w:val="22"/>
                <w:szCs w:val="22"/>
              </w:rPr>
            </w:pPr>
            <w:r w:rsidRPr="00ED6CD0">
              <w:rPr>
                <w:sz w:val="22"/>
                <w:szCs w:val="22"/>
              </w:rPr>
              <w:t>14</w:t>
            </w:r>
          </w:p>
        </w:tc>
        <w:tc>
          <w:tcPr>
            <w:tcW w:w="812" w:type="dxa"/>
            <w:tcBorders>
              <w:top w:val="dotted" w:sz="4" w:space="0" w:color="auto"/>
              <w:bottom w:val="dotted" w:sz="4" w:space="0" w:color="auto"/>
            </w:tcBorders>
            <w:noWrap/>
          </w:tcPr>
          <w:p w14:paraId="4325767D" w14:textId="5115AD3A" w:rsidR="006B6176" w:rsidRPr="00ED6CD0" w:rsidRDefault="006B6176" w:rsidP="006B6176">
            <w:pPr>
              <w:rPr>
                <w:sz w:val="22"/>
                <w:szCs w:val="22"/>
              </w:rPr>
            </w:pPr>
            <w:r w:rsidRPr="00ED6CD0">
              <w:rPr>
                <w:sz w:val="22"/>
                <w:szCs w:val="22"/>
              </w:rPr>
              <w:t>10/</w:t>
            </w:r>
            <w:r w:rsidR="005C17D5" w:rsidRPr="00ED6CD0">
              <w:rPr>
                <w:sz w:val="22"/>
                <w:szCs w:val="22"/>
              </w:rPr>
              <w:t>5</w:t>
            </w:r>
          </w:p>
        </w:tc>
        <w:tc>
          <w:tcPr>
            <w:tcW w:w="5582" w:type="dxa"/>
            <w:tcBorders>
              <w:top w:val="dotted" w:sz="4" w:space="0" w:color="auto"/>
              <w:bottom w:val="dotted" w:sz="4" w:space="0" w:color="auto"/>
            </w:tcBorders>
            <w:noWrap/>
          </w:tcPr>
          <w:p w14:paraId="0F3F6BAF" w14:textId="7DE9EF79" w:rsidR="006B6176" w:rsidRPr="00ED6CD0" w:rsidRDefault="006B6176" w:rsidP="006B6176">
            <w:pPr>
              <w:rPr>
                <w:sz w:val="22"/>
                <w:szCs w:val="22"/>
              </w:rPr>
            </w:pPr>
            <w:r w:rsidRPr="00ED6CD0">
              <w:rPr>
                <w:sz w:val="22"/>
                <w:szCs w:val="22"/>
              </w:rPr>
              <w:t xml:space="preserve">Catch-up day </w:t>
            </w:r>
          </w:p>
        </w:tc>
        <w:tc>
          <w:tcPr>
            <w:tcW w:w="2520" w:type="dxa"/>
            <w:tcBorders>
              <w:top w:val="dotted" w:sz="4" w:space="0" w:color="auto"/>
              <w:bottom w:val="dotted" w:sz="4" w:space="0" w:color="auto"/>
            </w:tcBorders>
            <w:noWrap/>
          </w:tcPr>
          <w:p w14:paraId="0F12DCFD" w14:textId="1294F2D7" w:rsidR="006B6176" w:rsidRPr="00C8574A" w:rsidRDefault="006B6176" w:rsidP="006B6176">
            <w:pPr>
              <w:rPr>
                <w:sz w:val="22"/>
                <w:szCs w:val="22"/>
                <w:highlight w:val="yellow"/>
              </w:rPr>
            </w:pPr>
          </w:p>
        </w:tc>
      </w:tr>
      <w:tr w:rsidR="006B6176" w:rsidRPr="00441851" w14:paraId="7186286B" w14:textId="77777777" w:rsidTr="00224253">
        <w:trPr>
          <w:trHeight w:val="288"/>
          <w:jc w:val="center"/>
        </w:trPr>
        <w:tc>
          <w:tcPr>
            <w:tcW w:w="630" w:type="dxa"/>
            <w:tcBorders>
              <w:top w:val="dotted" w:sz="4" w:space="0" w:color="auto"/>
              <w:bottom w:val="dotted" w:sz="4" w:space="0" w:color="auto"/>
            </w:tcBorders>
            <w:noWrap/>
          </w:tcPr>
          <w:p w14:paraId="6518D75E" w14:textId="77777777" w:rsidR="006B6176" w:rsidRPr="00ED6CD0" w:rsidRDefault="006B6176" w:rsidP="006B6176">
            <w:pPr>
              <w:jc w:val="center"/>
              <w:rPr>
                <w:sz w:val="22"/>
                <w:szCs w:val="22"/>
              </w:rPr>
            </w:pPr>
            <w:r w:rsidRPr="00ED6CD0">
              <w:rPr>
                <w:sz w:val="22"/>
                <w:szCs w:val="22"/>
              </w:rPr>
              <w:t>15</w:t>
            </w:r>
          </w:p>
        </w:tc>
        <w:tc>
          <w:tcPr>
            <w:tcW w:w="812" w:type="dxa"/>
            <w:tcBorders>
              <w:top w:val="dotted" w:sz="4" w:space="0" w:color="auto"/>
              <w:bottom w:val="dotted" w:sz="4" w:space="0" w:color="auto"/>
            </w:tcBorders>
            <w:noWrap/>
          </w:tcPr>
          <w:p w14:paraId="050B2DAF" w14:textId="65B4EB5A" w:rsidR="006B6176" w:rsidRPr="00ED6CD0" w:rsidRDefault="006B6176" w:rsidP="006B6176">
            <w:pPr>
              <w:rPr>
                <w:sz w:val="22"/>
                <w:szCs w:val="22"/>
              </w:rPr>
            </w:pPr>
            <w:r w:rsidRPr="00ED6CD0">
              <w:rPr>
                <w:sz w:val="22"/>
                <w:szCs w:val="22"/>
              </w:rPr>
              <w:t>10/1</w:t>
            </w:r>
            <w:r w:rsidR="005C17D5" w:rsidRPr="00ED6CD0">
              <w:rPr>
                <w:sz w:val="22"/>
                <w:szCs w:val="22"/>
              </w:rPr>
              <w:t>0</w:t>
            </w:r>
          </w:p>
        </w:tc>
        <w:tc>
          <w:tcPr>
            <w:tcW w:w="5582" w:type="dxa"/>
            <w:tcBorders>
              <w:top w:val="dotted" w:sz="4" w:space="0" w:color="auto"/>
              <w:bottom w:val="dotted" w:sz="4" w:space="0" w:color="auto"/>
            </w:tcBorders>
            <w:noWrap/>
          </w:tcPr>
          <w:p w14:paraId="18E441B5" w14:textId="41D87C74" w:rsidR="006B6176" w:rsidRPr="00ED6CD0" w:rsidRDefault="006B6176" w:rsidP="006B6176">
            <w:pPr>
              <w:rPr>
                <w:sz w:val="22"/>
                <w:szCs w:val="22"/>
              </w:rPr>
            </w:pPr>
            <w:r w:rsidRPr="00ED6CD0">
              <w:rPr>
                <w:sz w:val="22"/>
                <w:szCs w:val="22"/>
              </w:rPr>
              <w:t>Microfinance (</w:t>
            </w:r>
            <w:proofErr w:type="spellStart"/>
            <w:r w:rsidRPr="00ED6CD0">
              <w:rPr>
                <w:sz w:val="22"/>
                <w:szCs w:val="22"/>
              </w:rPr>
              <w:t>Duflo</w:t>
            </w:r>
            <w:proofErr w:type="spellEnd"/>
            <w:r w:rsidRPr="00ED6CD0">
              <w:rPr>
                <w:sz w:val="22"/>
                <w:szCs w:val="22"/>
              </w:rPr>
              <w:t xml:space="preserve">, </w:t>
            </w:r>
            <w:proofErr w:type="spellStart"/>
            <w:r w:rsidRPr="00ED6CD0">
              <w:rPr>
                <w:sz w:val="22"/>
                <w:szCs w:val="22"/>
              </w:rPr>
              <w:t>Glennerster</w:t>
            </w:r>
            <w:proofErr w:type="spellEnd"/>
            <w:r w:rsidRPr="00ED6CD0">
              <w:rPr>
                <w:sz w:val="22"/>
                <w:szCs w:val="22"/>
              </w:rPr>
              <w:t xml:space="preserve"> &amp; </w:t>
            </w:r>
            <w:proofErr w:type="spellStart"/>
            <w:r w:rsidRPr="00ED6CD0">
              <w:rPr>
                <w:sz w:val="22"/>
                <w:szCs w:val="22"/>
              </w:rPr>
              <w:t>Kinnan</w:t>
            </w:r>
            <w:proofErr w:type="spellEnd"/>
            <w:r w:rsidRPr="00ED6CD0">
              <w:rPr>
                <w:sz w:val="22"/>
                <w:szCs w:val="22"/>
              </w:rPr>
              <w:t xml:space="preserve"> 2015)</w:t>
            </w:r>
          </w:p>
        </w:tc>
        <w:tc>
          <w:tcPr>
            <w:tcW w:w="2520" w:type="dxa"/>
            <w:tcBorders>
              <w:top w:val="dotted" w:sz="4" w:space="0" w:color="auto"/>
              <w:bottom w:val="dotted" w:sz="4" w:space="0" w:color="auto"/>
            </w:tcBorders>
            <w:noWrap/>
          </w:tcPr>
          <w:p w14:paraId="07B979E6" w14:textId="5AB2226A" w:rsidR="006B6176" w:rsidRPr="00C8574A" w:rsidRDefault="006B6176" w:rsidP="006B6176">
            <w:pPr>
              <w:rPr>
                <w:sz w:val="22"/>
                <w:szCs w:val="22"/>
              </w:rPr>
            </w:pPr>
          </w:p>
        </w:tc>
      </w:tr>
      <w:tr w:rsidR="006B6176" w:rsidRPr="00441851" w14:paraId="76D36256" w14:textId="77777777" w:rsidTr="00224253">
        <w:trPr>
          <w:trHeight w:val="288"/>
          <w:jc w:val="center"/>
        </w:trPr>
        <w:tc>
          <w:tcPr>
            <w:tcW w:w="630" w:type="dxa"/>
            <w:tcBorders>
              <w:top w:val="dotted" w:sz="4" w:space="0" w:color="auto"/>
              <w:bottom w:val="dotted" w:sz="4" w:space="0" w:color="auto"/>
            </w:tcBorders>
            <w:noWrap/>
            <w:hideMark/>
          </w:tcPr>
          <w:p w14:paraId="42C99618" w14:textId="77777777" w:rsidR="006B6176" w:rsidRPr="00441851" w:rsidRDefault="006B6176" w:rsidP="006B6176">
            <w:pPr>
              <w:jc w:val="center"/>
              <w:rPr>
                <w:sz w:val="22"/>
                <w:szCs w:val="22"/>
              </w:rPr>
            </w:pPr>
            <w:r w:rsidRPr="00441851">
              <w:rPr>
                <w:sz w:val="22"/>
                <w:szCs w:val="22"/>
              </w:rPr>
              <w:t>16</w:t>
            </w:r>
          </w:p>
        </w:tc>
        <w:tc>
          <w:tcPr>
            <w:tcW w:w="812" w:type="dxa"/>
            <w:tcBorders>
              <w:top w:val="dotted" w:sz="4" w:space="0" w:color="auto"/>
              <w:bottom w:val="dotted" w:sz="4" w:space="0" w:color="auto"/>
            </w:tcBorders>
            <w:noWrap/>
          </w:tcPr>
          <w:p w14:paraId="4A8FEF0F" w14:textId="229405CF" w:rsidR="006B6176" w:rsidRPr="00441851" w:rsidRDefault="006B6176" w:rsidP="006B6176">
            <w:pPr>
              <w:rPr>
                <w:sz w:val="22"/>
                <w:szCs w:val="22"/>
              </w:rPr>
            </w:pPr>
            <w:r w:rsidRPr="00441851">
              <w:rPr>
                <w:sz w:val="22"/>
                <w:szCs w:val="22"/>
              </w:rPr>
              <w:t>10/1</w:t>
            </w:r>
            <w:r w:rsidR="005C17D5">
              <w:rPr>
                <w:sz w:val="22"/>
                <w:szCs w:val="22"/>
              </w:rPr>
              <w:t>2</w:t>
            </w:r>
          </w:p>
        </w:tc>
        <w:tc>
          <w:tcPr>
            <w:tcW w:w="5582" w:type="dxa"/>
            <w:tcBorders>
              <w:top w:val="dotted" w:sz="4" w:space="0" w:color="auto"/>
              <w:bottom w:val="dotted" w:sz="4" w:space="0" w:color="auto"/>
            </w:tcBorders>
            <w:noWrap/>
          </w:tcPr>
          <w:p w14:paraId="0ED2F236" w14:textId="1855C1A5" w:rsidR="006B6176" w:rsidRPr="00441851" w:rsidRDefault="006B6176" w:rsidP="006B6176">
            <w:pPr>
              <w:rPr>
                <w:sz w:val="22"/>
                <w:szCs w:val="22"/>
              </w:rPr>
            </w:pPr>
            <w:r w:rsidRPr="00441851">
              <w:rPr>
                <w:sz w:val="22"/>
                <w:szCs w:val="22"/>
              </w:rPr>
              <w:t xml:space="preserve">Transfers (Baird, McIntosh &amp; </w:t>
            </w:r>
            <w:proofErr w:type="spellStart"/>
            <w:r w:rsidRPr="00441851">
              <w:rPr>
                <w:sz w:val="22"/>
                <w:szCs w:val="22"/>
              </w:rPr>
              <w:t>Özler</w:t>
            </w:r>
            <w:proofErr w:type="spellEnd"/>
            <w:r w:rsidRPr="00441851">
              <w:rPr>
                <w:sz w:val="22"/>
                <w:szCs w:val="22"/>
              </w:rPr>
              <w:t xml:space="preserve"> 2011)</w:t>
            </w:r>
          </w:p>
        </w:tc>
        <w:tc>
          <w:tcPr>
            <w:tcW w:w="2520" w:type="dxa"/>
            <w:tcBorders>
              <w:top w:val="dotted" w:sz="4" w:space="0" w:color="auto"/>
              <w:bottom w:val="dotted" w:sz="4" w:space="0" w:color="auto"/>
            </w:tcBorders>
            <w:noWrap/>
          </w:tcPr>
          <w:p w14:paraId="4DA2BA56" w14:textId="40A3C754" w:rsidR="006B6176" w:rsidRPr="00441851" w:rsidRDefault="006B6176" w:rsidP="006B6176">
            <w:pPr>
              <w:rPr>
                <w:sz w:val="22"/>
                <w:szCs w:val="22"/>
              </w:rPr>
            </w:pPr>
          </w:p>
        </w:tc>
      </w:tr>
      <w:tr w:rsidR="006B6176" w:rsidRPr="00441851" w14:paraId="544B129A" w14:textId="77777777" w:rsidTr="00224253">
        <w:trPr>
          <w:trHeight w:val="288"/>
          <w:jc w:val="center"/>
        </w:trPr>
        <w:tc>
          <w:tcPr>
            <w:tcW w:w="630" w:type="dxa"/>
            <w:tcBorders>
              <w:top w:val="dotted" w:sz="4" w:space="0" w:color="auto"/>
              <w:bottom w:val="dotted" w:sz="4" w:space="0" w:color="auto"/>
            </w:tcBorders>
            <w:noWrap/>
            <w:hideMark/>
          </w:tcPr>
          <w:p w14:paraId="26706911" w14:textId="77777777" w:rsidR="006B6176" w:rsidRPr="00441851" w:rsidRDefault="006B6176" w:rsidP="006B6176">
            <w:pPr>
              <w:jc w:val="center"/>
              <w:rPr>
                <w:sz w:val="22"/>
                <w:szCs w:val="22"/>
              </w:rPr>
            </w:pPr>
            <w:r w:rsidRPr="00441851">
              <w:rPr>
                <w:sz w:val="22"/>
                <w:szCs w:val="22"/>
              </w:rPr>
              <w:t>17</w:t>
            </w:r>
          </w:p>
        </w:tc>
        <w:tc>
          <w:tcPr>
            <w:tcW w:w="812" w:type="dxa"/>
            <w:tcBorders>
              <w:top w:val="dotted" w:sz="4" w:space="0" w:color="auto"/>
              <w:bottom w:val="dotted" w:sz="4" w:space="0" w:color="auto"/>
            </w:tcBorders>
            <w:noWrap/>
          </w:tcPr>
          <w:p w14:paraId="417B7356" w14:textId="21CB51CE" w:rsidR="006B6176" w:rsidRPr="00441851" w:rsidRDefault="006B6176" w:rsidP="006B6176">
            <w:pPr>
              <w:rPr>
                <w:sz w:val="22"/>
                <w:szCs w:val="22"/>
              </w:rPr>
            </w:pPr>
            <w:r w:rsidRPr="00441851">
              <w:rPr>
                <w:sz w:val="22"/>
                <w:szCs w:val="22"/>
              </w:rPr>
              <w:t>10/1</w:t>
            </w:r>
            <w:r w:rsidR="005C17D5">
              <w:rPr>
                <w:sz w:val="22"/>
                <w:szCs w:val="22"/>
              </w:rPr>
              <w:t>7</w:t>
            </w:r>
          </w:p>
        </w:tc>
        <w:tc>
          <w:tcPr>
            <w:tcW w:w="5582" w:type="dxa"/>
            <w:tcBorders>
              <w:top w:val="dotted" w:sz="4" w:space="0" w:color="auto"/>
              <w:bottom w:val="dotted" w:sz="4" w:space="0" w:color="auto"/>
            </w:tcBorders>
            <w:noWrap/>
          </w:tcPr>
          <w:p w14:paraId="380492FE" w14:textId="73AE8EC2" w:rsidR="006B6176" w:rsidRPr="00441851" w:rsidRDefault="006B6176" w:rsidP="006B6176">
            <w:pPr>
              <w:rPr>
                <w:sz w:val="22"/>
                <w:szCs w:val="22"/>
              </w:rPr>
            </w:pPr>
            <w:r w:rsidRPr="00441851">
              <w:rPr>
                <w:sz w:val="22"/>
                <w:szCs w:val="22"/>
              </w:rPr>
              <w:t>Catch-up day</w:t>
            </w:r>
          </w:p>
        </w:tc>
        <w:tc>
          <w:tcPr>
            <w:tcW w:w="2520" w:type="dxa"/>
            <w:tcBorders>
              <w:top w:val="dotted" w:sz="4" w:space="0" w:color="auto"/>
              <w:bottom w:val="dotted" w:sz="4" w:space="0" w:color="auto"/>
            </w:tcBorders>
            <w:noWrap/>
          </w:tcPr>
          <w:p w14:paraId="2287F191" w14:textId="77777777" w:rsidR="006B6176" w:rsidRPr="00441851" w:rsidRDefault="006B6176" w:rsidP="006B6176">
            <w:pPr>
              <w:rPr>
                <w:sz w:val="22"/>
                <w:szCs w:val="22"/>
              </w:rPr>
            </w:pPr>
          </w:p>
        </w:tc>
      </w:tr>
      <w:tr w:rsidR="006B6176" w:rsidRPr="00441851" w14:paraId="17C0E9D4" w14:textId="77777777" w:rsidTr="00224253">
        <w:trPr>
          <w:trHeight w:val="288"/>
          <w:jc w:val="center"/>
        </w:trPr>
        <w:tc>
          <w:tcPr>
            <w:tcW w:w="630" w:type="dxa"/>
            <w:tcBorders>
              <w:top w:val="dotted" w:sz="4" w:space="0" w:color="auto"/>
              <w:bottom w:val="dotted" w:sz="4" w:space="0" w:color="auto"/>
            </w:tcBorders>
            <w:noWrap/>
          </w:tcPr>
          <w:p w14:paraId="5F15905C" w14:textId="77777777" w:rsidR="006B6176" w:rsidRPr="00441851" w:rsidRDefault="006B6176" w:rsidP="006B6176">
            <w:pPr>
              <w:jc w:val="center"/>
              <w:rPr>
                <w:sz w:val="22"/>
                <w:szCs w:val="22"/>
              </w:rPr>
            </w:pPr>
            <w:r w:rsidRPr="00441851">
              <w:rPr>
                <w:sz w:val="22"/>
                <w:szCs w:val="22"/>
              </w:rPr>
              <w:t>18</w:t>
            </w:r>
          </w:p>
        </w:tc>
        <w:tc>
          <w:tcPr>
            <w:tcW w:w="812" w:type="dxa"/>
            <w:tcBorders>
              <w:top w:val="dotted" w:sz="4" w:space="0" w:color="auto"/>
              <w:bottom w:val="dotted" w:sz="4" w:space="0" w:color="auto"/>
            </w:tcBorders>
            <w:noWrap/>
          </w:tcPr>
          <w:p w14:paraId="59500145" w14:textId="0F49445A" w:rsidR="006B6176" w:rsidRPr="00441851" w:rsidRDefault="006B6176" w:rsidP="006B6176">
            <w:pPr>
              <w:rPr>
                <w:sz w:val="22"/>
                <w:szCs w:val="22"/>
              </w:rPr>
            </w:pPr>
            <w:r w:rsidRPr="00441851">
              <w:rPr>
                <w:sz w:val="22"/>
                <w:szCs w:val="22"/>
              </w:rPr>
              <w:t>10/</w:t>
            </w:r>
            <w:r w:rsidR="005C17D5">
              <w:rPr>
                <w:sz w:val="22"/>
                <w:szCs w:val="22"/>
              </w:rPr>
              <w:t>19</w:t>
            </w:r>
          </w:p>
        </w:tc>
        <w:tc>
          <w:tcPr>
            <w:tcW w:w="5582" w:type="dxa"/>
            <w:tcBorders>
              <w:top w:val="dotted" w:sz="4" w:space="0" w:color="auto"/>
              <w:bottom w:val="dotted" w:sz="4" w:space="0" w:color="auto"/>
            </w:tcBorders>
            <w:noWrap/>
          </w:tcPr>
          <w:p w14:paraId="6D4DAAD3" w14:textId="5CC56F8B" w:rsidR="006B6176" w:rsidRPr="00441851" w:rsidRDefault="006B6176" w:rsidP="006B6176">
            <w:pPr>
              <w:rPr>
                <w:sz w:val="22"/>
                <w:szCs w:val="22"/>
              </w:rPr>
            </w:pPr>
            <w:r w:rsidRPr="00441851">
              <w:rPr>
                <w:sz w:val="22"/>
                <w:szCs w:val="22"/>
              </w:rPr>
              <w:t>Education (</w:t>
            </w:r>
            <w:proofErr w:type="spellStart"/>
            <w:r w:rsidRPr="00441851">
              <w:rPr>
                <w:sz w:val="22"/>
                <w:szCs w:val="22"/>
              </w:rPr>
              <w:t>Duflo</w:t>
            </w:r>
            <w:proofErr w:type="spellEnd"/>
            <w:r w:rsidRPr="00441851">
              <w:rPr>
                <w:sz w:val="22"/>
                <w:szCs w:val="22"/>
              </w:rPr>
              <w:t xml:space="preserve"> 2001)</w:t>
            </w:r>
          </w:p>
        </w:tc>
        <w:tc>
          <w:tcPr>
            <w:tcW w:w="2520" w:type="dxa"/>
            <w:tcBorders>
              <w:top w:val="dotted" w:sz="4" w:space="0" w:color="auto"/>
              <w:bottom w:val="dotted" w:sz="4" w:space="0" w:color="auto"/>
            </w:tcBorders>
            <w:noWrap/>
          </w:tcPr>
          <w:p w14:paraId="579F5D08" w14:textId="77777777" w:rsidR="006B6176" w:rsidRPr="00441851" w:rsidRDefault="006B6176" w:rsidP="006B6176">
            <w:pPr>
              <w:rPr>
                <w:sz w:val="22"/>
                <w:szCs w:val="22"/>
              </w:rPr>
            </w:pPr>
          </w:p>
        </w:tc>
      </w:tr>
      <w:tr w:rsidR="006B6176" w:rsidRPr="00441851" w14:paraId="09BA3423" w14:textId="77777777" w:rsidTr="00224253">
        <w:trPr>
          <w:trHeight w:val="288"/>
          <w:jc w:val="center"/>
        </w:trPr>
        <w:tc>
          <w:tcPr>
            <w:tcW w:w="630" w:type="dxa"/>
            <w:tcBorders>
              <w:top w:val="dotted" w:sz="4" w:space="0" w:color="auto"/>
              <w:bottom w:val="dotted" w:sz="4" w:space="0" w:color="auto"/>
            </w:tcBorders>
            <w:noWrap/>
          </w:tcPr>
          <w:p w14:paraId="5ED72F66" w14:textId="77777777" w:rsidR="006B6176" w:rsidRPr="00441851" w:rsidRDefault="006B6176" w:rsidP="006B6176">
            <w:pPr>
              <w:jc w:val="center"/>
              <w:rPr>
                <w:sz w:val="22"/>
                <w:szCs w:val="22"/>
              </w:rPr>
            </w:pPr>
            <w:r w:rsidRPr="00441851">
              <w:rPr>
                <w:sz w:val="22"/>
                <w:szCs w:val="22"/>
              </w:rPr>
              <w:t>19</w:t>
            </w:r>
          </w:p>
        </w:tc>
        <w:tc>
          <w:tcPr>
            <w:tcW w:w="812" w:type="dxa"/>
            <w:tcBorders>
              <w:top w:val="dotted" w:sz="4" w:space="0" w:color="auto"/>
              <w:bottom w:val="dotted" w:sz="4" w:space="0" w:color="auto"/>
            </w:tcBorders>
            <w:noWrap/>
          </w:tcPr>
          <w:p w14:paraId="00423D8A" w14:textId="4F896C16" w:rsidR="006B6176" w:rsidRPr="00441851" w:rsidRDefault="006B6176" w:rsidP="006B6176">
            <w:pPr>
              <w:rPr>
                <w:sz w:val="22"/>
                <w:szCs w:val="22"/>
              </w:rPr>
            </w:pPr>
            <w:r w:rsidRPr="00441851">
              <w:rPr>
                <w:sz w:val="22"/>
                <w:szCs w:val="22"/>
              </w:rPr>
              <w:t>10/2</w:t>
            </w:r>
            <w:r w:rsidR="005C17D5">
              <w:rPr>
                <w:sz w:val="22"/>
                <w:szCs w:val="22"/>
              </w:rPr>
              <w:t>4</w:t>
            </w:r>
          </w:p>
        </w:tc>
        <w:tc>
          <w:tcPr>
            <w:tcW w:w="5582" w:type="dxa"/>
            <w:tcBorders>
              <w:top w:val="dotted" w:sz="4" w:space="0" w:color="auto"/>
              <w:bottom w:val="dotted" w:sz="4" w:space="0" w:color="auto"/>
            </w:tcBorders>
            <w:noWrap/>
          </w:tcPr>
          <w:p w14:paraId="083F96AD" w14:textId="62F59CD5" w:rsidR="006B6176" w:rsidRPr="00441851" w:rsidRDefault="006B6176" w:rsidP="006B6176">
            <w:pPr>
              <w:rPr>
                <w:sz w:val="22"/>
                <w:szCs w:val="22"/>
              </w:rPr>
            </w:pPr>
            <w:r w:rsidRPr="00441851">
              <w:rPr>
                <w:sz w:val="22"/>
                <w:szCs w:val="22"/>
              </w:rPr>
              <w:t>Education (</w:t>
            </w:r>
            <w:proofErr w:type="spellStart"/>
            <w:r w:rsidRPr="00441851">
              <w:rPr>
                <w:sz w:val="22"/>
                <w:szCs w:val="22"/>
              </w:rPr>
              <w:t>Duflo</w:t>
            </w:r>
            <w:proofErr w:type="spellEnd"/>
            <w:r w:rsidRPr="00441851">
              <w:rPr>
                <w:sz w:val="22"/>
                <w:szCs w:val="22"/>
              </w:rPr>
              <w:t xml:space="preserve"> 2001)</w:t>
            </w:r>
          </w:p>
        </w:tc>
        <w:tc>
          <w:tcPr>
            <w:tcW w:w="2520" w:type="dxa"/>
            <w:tcBorders>
              <w:top w:val="dotted" w:sz="4" w:space="0" w:color="auto"/>
              <w:bottom w:val="dotted" w:sz="4" w:space="0" w:color="auto"/>
            </w:tcBorders>
            <w:noWrap/>
          </w:tcPr>
          <w:p w14:paraId="0A841F87" w14:textId="77777777" w:rsidR="006B6176" w:rsidRPr="00441851" w:rsidRDefault="006B6176" w:rsidP="006B6176">
            <w:pPr>
              <w:rPr>
                <w:sz w:val="22"/>
                <w:szCs w:val="22"/>
              </w:rPr>
            </w:pPr>
          </w:p>
        </w:tc>
      </w:tr>
      <w:tr w:rsidR="006B6176" w:rsidRPr="00441851" w14:paraId="5047A81D" w14:textId="77777777" w:rsidTr="00224253">
        <w:trPr>
          <w:trHeight w:val="288"/>
          <w:jc w:val="center"/>
        </w:trPr>
        <w:tc>
          <w:tcPr>
            <w:tcW w:w="630" w:type="dxa"/>
            <w:tcBorders>
              <w:top w:val="dotted" w:sz="4" w:space="0" w:color="auto"/>
              <w:bottom w:val="dotted" w:sz="4" w:space="0" w:color="auto"/>
            </w:tcBorders>
            <w:noWrap/>
          </w:tcPr>
          <w:p w14:paraId="0F69A365" w14:textId="6E3BE64D" w:rsidR="006B6176" w:rsidRPr="00441851" w:rsidRDefault="006B6176" w:rsidP="006B6176">
            <w:pPr>
              <w:jc w:val="center"/>
              <w:rPr>
                <w:sz w:val="22"/>
                <w:szCs w:val="22"/>
              </w:rPr>
            </w:pPr>
            <w:r w:rsidRPr="00441851">
              <w:rPr>
                <w:sz w:val="22"/>
                <w:szCs w:val="22"/>
              </w:rPr>
              <w:t>2</w:t>
            </w:r>
            <w:r w:rsidR="00766F47">
              <w:rPr>
                <w:sz w:val="22"/>
                <w:szCs w:val="22"/>
              </w:rPr>
              <w:t>0</w:t>
            </w:r>
          </w:p>
        </w:tc>
        <w:tc>
          <w:tcPr>
            <w:tcW w:w="812" w:type="dxa"/>
            <w:tcBorders>
              <w:top w:val="dotted" w:sz="4" w:space="0" w:color="auto"/>
              <w:bottom w:val="dotted" w:sz="4" w:space="0" w:color="auto"/>
            </w:tcBorders>
            <w:noWrap/>
          </w:tcPr>
          <w:p w14:paraId="62AE19FA" w14:textId="539F7DBA" w:rsidR="006B6176" w:rsidRPr="00441851" w:rsidRDefault="006B6176" w:rsidP="006B6176">
            <w:pPr>
              <w:rPr>
                <w:sz w:val="22"/>
                <w:szCs w:val="22"/>
              </w:rPr>
            </w:pPr>
            <w:r w:rsidRPr="00441851">
              <w:rPr>
                <w:sz w:val="22"/>
                <w:szCs w:val="22"/>
              </w:rPr>
              <w:t>1</w:t>
            </w:r>
            <w:r w:rsidR="00766F47">
              <w:rPr>
                <w:sz w:val="22"/>
                <w:szCs w:val="22"/>
              </w:rPr>
              <w:t>0</w:t>
            </w:r>
            <w:r w:rsidRPr="00441851">
              <w:rPr>
                <w:sz w:val="22"/>
                <w:szCs w:val="22"/>
              </w:rPr>
              <w:t>/</w:t>
            </w:r>
            <w:r w:rsidR="00766F47">
              <w:rPr>
                <w:sz w:val="22"/>
                <w:szCs w:val="22"/>
              </w:rPr>
              <w:t>2</w:t>
            </w:r>
            <w:r w:rsidR="005C17D5">
              <w:rPr>
                <w:sz w:val="22"/>
                <w:szCs w:val="22"/>
              </w:rPr>
              <w:t>6</w:t>
            </w:r>
          </w:p>
        </w:tc>
        <w:tc>
          <w:tcPr>
            <w:tcW w:w="5582" w:type="dxa"/>
            <w:tcBorders>
              <w:top w:val="dotted" w:sz="4" w:space="0" w:color="auto"/>
              <w:bottom w:val="dotted" w:sz="4" w:space="0" w:color="auto"/>
            </w:tcBorders>
            <w:noWrap/>
          </w:tcPr>
          <w:p w14:paraId="4C27862E" w14:textId="343A4AF3" w:rsidR="006B6176" w:rsidRPr="00441851" w:rsidRDefault="00850E82" w:rsidP="006B6176">
            <w:pPr>
              <w:rPr>
                <w:sz w:val="22"/>
                <w:szCs w:val="22"/>
              </w:rPr>
            </w:pPr>
            <w:r>
              <w:rPr>
                <w:sz w:val="22"/>
                <w:szCs w:val="22"/>
              </w:rPr>
              <w:t>Social Identity</w:t>
            </w:r>
            <w:r w:rsidR="006B6176" w:rsidRPr="00B65C59">
              <w:rPr>
                <w:sz w:val="22"/>
                <w:szCs w:val="22"/>
              </w:rPr>
              <w:t xml:space="preserve"> (</w:t>
            </w:r>
            <w:r w:rsidR="006C28F5" w:rsidRPr="00B65C59">
              <w:rPr>
                <w:sz w:val="22"/>
                <w:szCs w:val="22"/>
              </w:rPr>
              <w:t>Bursztyn</w:t>
            </w:r>
            <w:r w:rsidR="006C28F5" w:rsidRPr="006C28F5">
              <w:rPr>
                <w:sz w:val="22"/>
                <w:szCs w:val="22"/>
              </w:rPr>
              <w:t>, González &amp; Yanagizawa-Drott</w:t>
            </w:r>
            <w:r>
              <w:rPr>
                <w:sz w:val="22"/>
                <w:szCs w:val="22"/>
              </w:rPr>
              <w:t xml:space="preserve"> </w:t>
            </w:r>
            <w:r w:rsidR="006C28F5" w:rsidRPr="006C28F5">
              <w:rPr>
                <w:sz w:val="22"/>
                <w:szCs w:val="22"/>
              </w:rPr>
              <w:t>2020</w:t>
            </w:r>
            <w:r w:rsidR="006B6176" w:rsidRPr="00B65C59">
              <w:rPr>
                <w:sz w:val="22"/>
                <w:szCs w:val="22"/>
              </w:rPr>
              <w:t>)</w:t>
            </w:r>
          </w:p>
        </w:tc>
        <w:tc>
          <w:tcPr>
            <w:tcW w:w="2520" w:type="dxa"/>
            <w:tcBorders>
              <w:top w:val="dotted" w:sz="4" w:space="0" w:color="auto"/>
              <w:bottom w:val="dotted" w:sz="4" w:space="0" w:color="auto"/>
            </w:tcBorders>
            <w:noWrap/>
          </w:tcPr>
          <w:p w14:paraId="23535DF1" w14:textId="03903D2A" w:rsidR="006B6176" w:rsidRPr="00441851" w:rsidRDefault="006B6176" w:rsidP="006B6176">
            <w:pPr>
              <w:rPr>
                <w:sz w:val="22"/>
                <w:szCs w:val="22"/>
              </w:rPr>
            </w:pPr>
            <w:r w:rsidRPr="00441851">
              <w:rPr>
                <w:sz w:val="22"/>
                <w:szCs w:val="22"/>
              </w:rPr>
              <w:t>Presentation</w:t>
            </w:r>
          </w:p>
        </w:tc>
      </w:tr>
      <w:tr w:rsidR="006C28F5" w:rsidRPr="00441851" w14:paraId="348E1860" w14:textId="77777777" w:rsidTr="00585087">
        <w:trPr>
          <w:trHeight w:val="288"/>
          <w:jc w:val="center"/>
        </w:trPr>
        <w:tc>
          <w:tcPr>
            <w:tcW w:w="630" w:type="dxa"/>
            <w:tcBorders>
              <w:top w:val="dotted" w:sz="4" w:space="0" w:color="auto"/>
              <w:bottom w:val="dotted" w:sz="4" w:space="0" w:color="auto"/>
            </w:tcBorders>
            <w:noWrap/>
          </w:tcPr>
          <w:p w14:paraId="43946E0B" w14:textId="7701AB82" w:rsidR="006C28F5" w:rsidRPr="00441851" w:rsidRDefault="006C28F5" w:rsidP="00585087">
            <w:pPr>
              <w:jc w:val="center"/>
              <w:rPr>
                <w:sz w:val="22"/>
                <w:szCs w:val="22"/>
              </w:rPr>
            </w:pPr>
            <w:r w:rsidRPr="00441851">
              <w:rPr>
                <w:sz w:val="22"/>
                <w:szCs w:val="22"/>
              </w:rPr>
              <w:t>2</w:t>
            </w:r>
            <w:r w:rsidR="00766F47">
              <w:rPr>
                <w:sz w:val="22"/>
                <w:szCs w:val="22"/>
              </w:rPr>
              <w:t>1</w:t>
            </w:r>
          </w:p>
        </w:tc>
        <w:tc>
          <w:tcPr>
            <w:tcW w:w="812" w:type="dxa"/>
            <w:tcBorders>
              <w:top w:val="dotted" w:sz="4" w:space="0" w:color="auto"/>
              <w:bottom w:val="dotted" w:sz="4" w:space="0" w:color="auto"/>
            </w:tcBorders>
            <w:noWrap/>
          </w:tcPr>
          <w:p w14:paraId="304E75B0" w14:textId="0C2707F3" w:rsidR="006C28F5" w:rsidRPr="00441851" w:rsidRDefault="006C28F5" w:rsidP="00585087">
            <w:pPr>
              <w:rPr>
                <w:sz w:val="22"/>
                <w:szCs w:val="22"/>
              </w:rPr>
            </w:pPr>
            <w:r w:rsidRPr="00441851">
              <w:rPr>
                <w:sz w:val="22"/>
                <w:szCs w:val="22"/>
              </w:rPr>
              <w:t>1</w:t>
            </w:r>
            <w:r w:rsidR="005C17D5">
              <w:rPr>
                <w:sz w:val="22"/>
                <w:szCs w:val="22"/>
              </w:rPr>
              <w:t>0</w:t>
            </w:r>
            <w:r w:rsidRPr="00441851">
              <w:rPr>
                <w:sz w:val="22"/>
                <w:szCs w:val="22"/>
              </w:rPr>
              <w:t>/</w:t>
            </w:r>
            <w:r w:rsidR="005C17D5">
              <w:rPr>
                <w:sz w:val="22"/>
                <w:szCs w:val="22"/>
              </w:rPr>
              <w:t>31</w:t>
            </w:r>
          </w:p>
        </w:tc>
        <w:tc>
          <w:tcPr>
            <w:tcW w:w="5582" w:type="dxa"/>
            <w:tcBorders>
              <w:top w:val="dotted" w:sz="4" w:space="0" w:color="auto"/>
              <w:bottom w:val="dotted" w:sz="4" w:space="0" w:color="auto"/>
            </w:tcBorders>
            <w:noWrap/>
          </w:tcPr>
          <w:p w14:paraId="4D05A4AC" w14:textId="135B34E1" w:rsidR="006C28F5" w:rsidRPr="00441851" w:rsidRDefault="00850E82" w:rsidP="00585087">
            <w:pPr>
              <w:rPr>
                <w:sz w:val="22"/>
                <w:szCs w:val="22"/>
              </w:rPr>
            </w:pPr>
            <w:r>
              <w:rPr>
                <w:sz w:val="22"/>
                <w:szCs w:val="22"/>
              </w:rPr>
              <w:t>Social Identity (</w:t>
            </w:r>
            <w:r w:rsidRPr="00850E82">
              <w:rPr>
                <w:sz w:val="22"/>
                <w:szCs w:val="22"/>
              </w:rPr>
              <w:t>Oh</w:t>
            </w:r>
            <w:r>
              <w:rPr>
                <w:sz w:val="22"/>
                <w:szCs w:val="22"/>
              </w:rPr>
              <w:t xml:space="preserve"> 2023)</w:t>
            </w:r>
          </w:p>
        </w:tc>
        <w:tc>
          <w:tcPr>
            <w:tcW w:w="2520" w:type="dxa"/>
            <w:tcBorders>
              <w:top w:val="dotted" w:sz="4" w:space="0" w:color="auto"/>
              <w:bottom w:val="dotted" w:sz="4" w:space="0" w:color="auto"/>
            </w:tcBorders>
            <w:noWrap/>
          </w:tcPr>
          <w:p w14:paraId="6C8B3C1D" w14:textId="3F72C1E8" w:rsidR="006C28F5" w:rsidRPr="00441851" w:rsidRDefault="00850E82" w:rsidP="00585087">
            <w:pPr>
              <w:rPr>
                <w:sz w:val="22"/>
                <w:szCs w:val="22"/>
              </w:rPr>
            </w:pPr>
            <w:r w:rsidRPr="00441851">
              <w:rPr>
                <w:sz w:val="22"/>
                <w:szCs w:val="22"/>
              </w:rPr>
              <w:t>Presentation</w:t>
            </w:r>
          </w:p>
        </w:tc>
      </w:tr>
      <w:tr w:rsidR="00850E82" w:rsidRPr="00441851" w14:paraId="40BD5327" w14:textId="77777777" w:rsidTr="00585087">
        <w:trPr>
          <w:trHeight w:val="288"/>
          <w:jc w:val="center"/>
        </w:trPr>
        <w:tc>
          <w:tcPr>
            <w:tcW w:w="630" w:type="dxa"/>
            <w:tcBorders>
              <w:top w:val="dotted" w:sz="4" w:space="0" w:color="auto"/>
              <w:bottom w:val="dotted" w:sz="4" w:space="0" w:color="auto"/>
            </w:tcBorders>
            <w:shd w:val="clear" w:color="auto" w:fill="auto"/>
            <w:noWrap/>
          </w:tcPr>
          <w:p w14:paraId="4A49EDD2" w14:textId="08166728" w:rsidR="00850E82" w:rsidRPr="00441851" w:rsidRDefault="00850E82" w:rsidP="00850E82">
            <w:pPr>
              <w:jc w:val="center"/>
              <w:rPr>
                <w:sz w:val="22"/>
                <w:szCs w:val="22"/>
              </w:rPr>
            </w:pPr>
            <w:r w:rsidRPr="00441851">
              <w:rPr>
                <w:sz w:val="22"/>
                <w:szCs w:val="22"/>
              </w:rPr>
              <w:t>2</w:t>
            </w:r>
            <w:r>
              <w:rPr>
                <w:sz w:val="22"/>
                <w:szCs w:val="22"/>
              </w:rPr>
              <w:t>2</w:t>
            </w:r>
          </w:p>
        </w:tc>
        <w:tc>
          <w:tcPr>
            <w:tcW w:w="812" w:type="dxa"/>
            <w:tcBorders>
              <w:top w:val="dotted" w:sz="4" w:space="0" w:color="auto"/>
              <w:bottom w:val="dotted" w:sz="4" w:space="0" w:color="auto"/>
            </w:tcBorders>
            <w:shd w:val="clear" w:color="auto" w:fill="auto"/>
            <w:noWrap/>
          </w:tcPr>
          <w:p w14:paraId="11356E0E" w14:textId="5D2402FF" w:rsidR="00850E82" w:rsidRPr="00441851" w:rsidRDefault="00850E82" w:rsidP="00850E82">
            <w:pPr>
              <w:rPr>
                <w:sz w:val="22"/>
                <w:szCs w:val="22"/>
              </w:rPr>
            </w:pPr>
            <w:r w:rsidRPr="00441851">
              <w:rPr>
                <w:sz w:val="22"/>
                <w:szCs w:val="22"/>
              </w:rPr>
              <w:t>11/</w:t>
            </w:r>
            <w:r>
              <w:rPr>
                <w:sz w:val="22"/>
                <w:szCs w:val="22"/>
              </w:rPr>
              <w:t>2</w:t>
            </w:r>
          </w:p>
        </w:tc>
        <w:tc>
          <w:tcPr>
            <w:tcW w:w="5582" w:type="dxa"/>
            <w:tcBorders>
              <w:top w:val="dotted" w:sz="4" w:space="0" w:color="auto"/>
              <w:bottom w:val="dotted" w:sz="4" w:space="0" w:color="auto"/>
            </w:tcBorders>
            <w:shd w:val="clear" w:color="auto" w:fill="auto"/>
            <w:noWrap/>
          </w:tcPr>
          <w:p w14:paraId="49CBBD9E" w14:textId="7E9B57BC" w:rsidR="00850E82" w:rsidRPr="00441851" w:rsidRDefault="00850E82" w:rsidP="00850E82">
            <w:pPr>
              <w:rPr>
                <w:sz w:val="22"/>
                <w:szCs w:val="22"/>
              </w:rPr>
            </w:pPr>
            <w:r w:rsidRPr="00441851">
              <w:rPr>
                <w:sz w:val="22"/>
                <w:szCs w:val="22"/>
              </w:rPr>
              <w:t>Firms (De Mel &amp; McKenzie 2008)</w:t>
            </w:r>
          </w:p>
        </w:tc>
        <w:tc>
          <w:tcPr>
            <w:tcW w:w="2520" w:type="dxa"/>
            <w:tcBorders>
              <w:top w:val="dotted" w:sz="4" w:space="0" w:color="auto"/>
              <w:bottom w:val="dotted" w:sz="4" w:space="0" w:color="auto"/>
            </w:tcBorders>
            <w:shd w:val="clear" w:color="auto" w:fill="auto"/>
            <w:noWrap/>
          </w:tcPr>
          <w:p w14:paraId="28362886" w14:textId="6617F083" w:rsidR="00850E82" w:rsidRPr="00441851" w:rsidRDefault="00850E82" w:rsidP="00850E82">
            <w:pPr>
              <w:rPr>
                <w:sz w:val="22"/>
                <w:szCs w:val="22"/>
              </w:rPr>
            </w:pPr>
          </w:p>
        </w:tc>
      </w:tr>
      <w:tr w:rsidR="00850E82" w:rsidRPr="00441851" w14:paraId="46A6FE5E" w14:textId="77777777" w:rsidTr="00585087">
        <w:trPr>
          <w:trHeight w:val="288"/>
          <w:jc w:val="center"/>
        </w:trPr>
        <w:tc>
          <w:tcPr>
            <w:tcW w:w="630" w:type="dxa"/>
            <w:tcBorders>
              <w:top w:val="dotted" w:sz="4" w:space="0" w:color="auto"/>
              <w:bottom w:val="dotted" w:sz="4" w:space="0" w:color="auto"/>
            </w:tcBorders>
            <w:noWrap/>
          </w:tcPr>
          <w:p w14:paraId="3A2BDB08" w14:textId="76A027F8" w:rsidR="00850E82" w:rsidRPr="00441851" w:rsidRDefault="00850E82" w:rsidP="00850E82">
            <w:pPr>
              <w:jc w:val="center"/>
              <w:rPr>
                <w:sz w:val="22"/>
                <w:szCs w:val="22"/>
              </w:rPr>
            </w:pPr>
            <w:r w:rsidRPr="00441851">
              <w:rPr>
                <w:sz w:val="22"/>
                <w:szCs w:val="22"/>
              </w:rPr>
              <w:t>2</w:t>
            </w:r>
            <w:r>
              <w:rPr>
                <w:sz w:val="22"/>
                <w:szCs w:val="22"/>
              </w:rPr>
              <w:t>3</w:t>
            </w:r>
          </w:p>
        </w:tc>
        <w:tc>
          <w:tcPr>
            <w:tcW w:w="812" w:type="dxa"/>
            <w:tcBorders>
              <w:top w:val="dotted" w:sz="4" w:space="0" w:color="auto"/>
              <w:bottom w:val="dotted" w:sz="4" w:space="0" w:color="auto"/>
            </w:tcBorders>
            <w:noWrap/>
          </w:tcPr>
          <w:p w14:paraId="3F7E8FE8" w14:textId="465295EA" w:rsidR="00850E82" w:rsidRPr="00441851" w:rsidRDefault="00850E82" w:rsidP="00850E82">
            <w:pPr>
              <w:rPr>
                <w:sz w:val="22"/>
                <w:szCs w:val="22"/>
              </w:rPr>
            </w:pPr>
            <w:r w:rsidRPr="00441851">
              <w:rPr>
                <w:sz w:val="22"/>
                <w:szCs w:val="22"/>
              </w:rPr>
              <w:t>11/</w:t>
            </w:r>
            <w:r>
              <w:rPr>
                <w:sz w:val="22"/>
                <w:szCs w:val="22"/>
              </w:rPr>
              <w:t>7</w:t>
            </w:r>
          </w:p>
        </w:tc>
        <w:tc>
          <w:tcPr>
            <w:tcW w:w="5582" w:type="dxa"/>
            <w:tcBorders>
              <w:top w:val="dotted" w:sz="4" w:space="0" w:color="auto"/>
              <w:bottom w:val="dotted" w:sz="4" w:space="0" w:color="auto"/>
            </w:tcBorders>
            <w:noWrap/>
          </w:tcPr>
          <w:p w14:paraId="7563947D" w14:textId="77777777" w:rsidR="00850E82" w:rsidRPr="00441851" w:rsidRDefault="00850E82" w:rsidP="00850E82">
            <w:pPr>
              <w:rPr>
                <w:sz w:val="22"/>
                <w:szCs w:val="22"/>
              </w:rPr>
            </w:pPr>
            <w:r w:rsidRPr="00441851">
              <w:rPr>
                <w:sz w:val="22"/>
                <w:szCs w:val="22"/>
              </w:rPr>
              <w:t>Catch-up day</w:t>
            </w:r>
          </w:p>
        </w:tc>
        <w:tc>
          <w:tcPr>
            <w:tcW w:w="2520" w:type="dxa"/>
            <w:tcBorders>
              <w:top w:val="dotted" w:sz="4" w:space="0" w:color="auto"/>
              <w:bottom w:val="dotted" w:sz="4" w:space="0" w:color="auto"/>
            </w:tcBorders>
            <w:noWrap/>
          </w:tcPr>
          <w:p w14:paraId="08447E1E" w14:textId="77777777" w:rsidR="00850E82" w:rsidRPr="00441851" w:rsidRDefault="00850E82" w:rsidP="00850E82">
            <w:pPr>
              <w:rPr>
                <w:sz w:val="22"/>
                <w:szCs w:val="22"/>
              </w:rPr>
            </w:pPr>
          </w:p>
        </w:tc>
      </w:tr>
      <w:tr w:rsidR="00850E82" w:rsidRPr="00441851" w14:paraId="415C8F7A" w14:textId="77777777" w:rsidTr="00392F85">
        <w:trPr>
          <w:trHeight w:val="288"/>
          <w:jc w:val="center"/>
        </w:trPr>
        <w:tc>
          <w:tcPr>
            <w:tcW w:w="630" w:type="dxa"/>
            <w:tcBorders>
              <w:top w:val="dotted" w:sz="4" w:space="0" w:color="auto"/>
              <w:bottom w:val="dotted" w:sz="4" w:space="0" w:color="auto"/>
            </w:tcBorders>
            <w:noWrap/>
          </w:tcPr>
          <w:p w14:paraId="4C35A1E1" w14:textId="676D7DE9" w:rsidR="00850E82" w:rsidRPr="00441851" w:rsidRDefault="00850E82" w:rsidP="00850E82">
            <w:pPr>
              <w:jc w:val="center"/>
              <w:rPr>
                <w:sz w:val="22"/>
                <w:szCs w:val="22"/>
              </w:rPr>
            </w:pPr>
            <w:r w:rsidRPr="00441851">
              <w:rPr>
                <w:sz w:val="22"/>
                <w:szCs w:val="22"/>
              </w:rPr>
              <w:t>2</w:t>
            </w:r>
            <w:r>
              <w:rPr>
                <w:sz w:val="22"/>
                <w:szCs w:val="22"/>
              </w:rPr>
              <w:t>4</w:t>
            </w:r>
          </w:p>
        </w:tc>
        <w:tc>
          <w:tcPr>
            <w:tcW w:w="812" w:type="dxa"/>
            <w:tcBorders>
              <w:top w:val="dotted" w:sz="4" w:space="0" w:color="auto"/>
              <w:bottom w:val="dotted" w:sz="4" w:space="0" w:color="auto"/>
            </w:tcBorders>
            <w:noWrap/>
          </w:tcPr>
          <w:p w14:paraId="409006C9" w14:textId="5C3B3CA4" w:rsidR="00850E82" w:rsidRPr="00441851" w:rsidRDefault="00850E82" w:rsidP="00850E82">
            <w:pPr>
              <w:rPr>
                <w:sz w:val="22"/>
                <w:szCs w:val="22"/>
              </w:rPr>
            </w:pPr>
            <w:r w:rsidRPr="00441851">
              <w:rPr>
                <w:sz w:val="22"/>
                <w:szCs w:val="22"/>
              </w:rPr>
              <w:t>1</w:t>
            </w:r>
            <w:r>
              <w:rPr>
                <w:sz w:val="22"/>
                <w:szCs w:val="22"/>
              </w:rPr>
              <w:t>1</w:t>
            </w:r>
            <w:r w:rsidRPr="00441851">
              <w:rPr>
                <w:sz w:val="22"/>
                <w:szCs w:val="22"/>
              </w:rPr>
              <w:t>/</w:t>
            </w:r>
            <w:r>
              <w:rPr>
                <w:sz w:val="22"/>
                <w:szCs w:val="22"/>
              </w:rPr>
              <w:t>9</w:t>
            </w:r>
          </w:p>
        </w:tc>
        <w:tc>
          <w:tcPr>
            <w:tcW w:w="5582" w:type="dxa"/>
            <w:tcBorders>
              <w:top w:val="dotted" w:sz="4" w:space="0" w:color="auto"/>
              <w:bottom w:val="dotted" w:sz="4" w:space="0" w:color="auto"/>
            </w:tcBorders>
            <w:noWrap/>
          </w:tcPr>
          <w:p w14:paraId="706122E2" w14:textId="77777777" w:rsidR="00850E82" w:rsidRPr="00441851" w:rsidRDefault="00850E82" w:rsidP="00850E82">
            <w:pPr>
              <w:rPr>
                <w:sz w:val="22"/>
                <w:szCs w:val="22"/>
              </w:rPr>
            </w:pPr>
            <w:r w:rsidRPr="00441851">
              <w:rPr>
                <w:sz w:val="22"/>
                <w:szCs w:val="22"/>
              </w:rPr>
              <w:t>Health (Miguel &amp; Kremer 2004)</w:t>
            </w:r>
          </w:p>
        </w:tc>
        <w:tc>
          <w:tcPr>
            <w:tcW w:w="2520" w:type="dxa"/>
            <w:tcBorders>
              <w:top w:val="dotted" w:sz="4" w:space="0" w:color="auto"/>
              <w:bottom w:val="dotted" w:sz="4" w:space="0" w:color="auto"/>
            </w:tcBorders>
            <w:noWrap/>
          </w:tcPr>
          <w:p w14:paraId="59843E72" w14:textId="77777777" w:rsidR="00850E82" w:rsidRPr="00441851" w:rsidRDefault="00850E82" w:rsidP="00850E82">
            <w:pPr>
              <w:rPr>
                <w:sz w:val="22"/>
                <w:szCs w:val="22"/>
              </w:rPr>
            </w:pPr>
          </w:p>
        </w:tc>
      </w:tr>
      <w:tr w:rsidR="00850E82" w:rsidRPr="00441851" w14:paraId="7513772C" w14:textId="77777777" w:rsidTr="00392F85">
        <w:trPr>
          <w:trHeight w:val="288"/>
          <w:jc w:val="center"/>
        </w:trPr>
        <w:tc>
          <w:tcPr>
            <w:tcW w:w="630" w:type="dxa"/>
            <w:tcBorders>
              <w:top w:val="dotted" w:sz="4" w:space="0" w:color="auto"/>
              <w:bottom w:val="dotted" w:sz="4" w:space="0" w:color="auto"/>
            </w:tcBorders>
            <w:noWrap/>
          </w:tcPr>
          <w:p w14:paraId="16F92306" w14:textId="61B4A9FE" w:rsidR="00850E82" w:rsidRPr="00441851" w:rsidRDefault="00850E82" w:rsidP="00850E82">
            <w:pPr>
              <w:jc w:val="center"/>
              <w:rPr>
                <w:sz w:val="22"/>
                <w:szCs w:val="22"/>
              </w:rPr>
            </w:pPr>
            <w:r w:rsidRPr="00441851">
              <w:rPr>
                <w:sz w:val="22"/>
                <w:szCs w:val="22"/>
              </w:rPr>
              <w:t>2</w:t>
            </w:r>
            <w:r>
              <w:rPr>
                <w:sz w:val="22"/>
                <w:szCs w:val="22"/>
              </w:rPr>
              <w:t>5</w:t>
            </w:r>
          </w:p>
        </w:tc>
        <w:tc>
          <w:tcPr>
            <w:tcW w:w="812" w:type="dxa"/>
            <w:tcBorders>
              <w:top w:val="dotted" w:sz="4" w:space="0" w:color="auto"/>
              <w:bottom w:val="dotted" w:sz="4" w:space="0" w:color="auto"/>
            </w:tcBorders>
            <w:noWrap/>
          </w:tcPr>
          <w:p w14:paraId="6EC15FA3" w14:textId="71FBF528" w:rsidR="00850E82" w:rsidRPr="00441851" w:rsidRDefault="00850E82" w:rsidP="00850E82">
            <w:pPr>
              <w:rPr>
                <w:sz w:val="22"/>
                <w:szCs w:val="22"/>
              </w:rPr>
            </w:pPr>
            <w:r w:rsidRPr="00441851">
              <w:rPr>
                <w:sz w:val="22"/>
                <w:szCs w:val="22"/>
              </w:rPr>
              <w:t>11/</w:t>
            </w:r>
            <w:r>
              <w:rPr>
                <w:sz w:val="22"/>
                <w:szCs w:val="22"/>
              </w:rPr>
              <w:t>14</w:t>
            </w:r>
          </w:p>
        </w:tc>
        <w:tc>
          <w:tcPr>
            <w:tcW w:w="5582" w:type="dxa"/>
            <w:tcBorders>
              <w:top w:val="dotted" w:sz="4" w:space="0" w:color="auto"/>
              <w:bottom w:val="dotted" w:sz="4" w:space="0" w:color="auto"/>
            </w:tcBorders>
            <w:noWrap/>
          </w:tcPr>
          <w:p w14:paraId="0B7EF4D7" w14:textId="77777777" w:rsidR="00850E82" w:rsidRPr="00441851" w:rsidRDefault="00850E82" w:rsidP="00850E82">
            <w:pPr>
              <w:rPr>
                <w:sz w:val="22"/>
                <w:szCs w:val="22"/>
              </w:rPr>
            </w:pPr>
            <w:r w:rsidRPr="00441851">
              <w:rPr>
                <w:sz w:val="22"/>
                <w:szCs w:val="22"/>
              </w:rPr>
              <w:t>Catch-up day</w:t>
            </w:r>
          </w:p>
        </w:tc>
        <w:tc>
          <w:tcPr>
            <w:tcW w:w="2520" w:type="dxa"/>
            <w:tcBorders>
              <w:top w:val="dotted" w:sz="4" w:space="0" w:color="auto"/>
              <w:bottom w:val="dotted" w:sz="4" w:space="0" w:color="auto"/>
            </w:tcBorders>
            <w:noWrap/>
          </w:tcPr>
          <w:p w14:paraId="2083A311" w14:textId="77777777" w:rsidR="00850E82" w:rsidRPr="00441851" w:rsidRDefault="00850E82" w:rsidP="00850E82">
            <w:pPr>
              <w:rPr>
                <w:sz w:val="22"/>
                <w:szCs w:val="22"/>
              </w:rPr>
            </w:pPr>
          </w:p>
        </w:tc>
      </w:tr>
      <w:tr w:rsidR="00850E82" w:rsidRPr="00441851" w14:paraId="679DD3E5" w14:textId="77777777" w:rsidTr="00224253">
        <w:trPr>
          <w:trHeight w:val="288"/>
          <w:jc w:val="center"/>
        </w:trPr>
        <w:tc>
          <w:tcPr>
            <w:tcW w:w="630" w:type="dxa"/>
            <w:tcBorders>
              <w:top w:val="dotted" w:sz="4" w:space="0" w:color="auto"/>
              <w:bottom w:val="dotted" w:sz="4" w:space="0" w:color="auto"/>
            </w:tcBorders>
            <w:shd w:val="clear" w:color="auto" w:fill="auto"/>
            <w:noWrap/>
          </w:tcPr>
          <w:p w14:paraId="680937E6" w14:textId="2F23693B" w:rsidR="00850E82" w:rsidRPr="00441851" w:rsidRDefault="00850E82" w:rsidP="00850E82">
            <w:pPr>
              <w:jc w:val="center"/>
              <w:rPr>
                <w:sz w:val="22"/>
                <w:szCs w:val="22"/>
              </w:rPr>
            </w:pPr>
            <w:r w:rsidRPr="00441851">
              <w:rPr>
                <w:sz w:val="22"/>
                <w:szCs w:val="22"/>
              </w:rPr>
              <w:t>2</w:t>
            </w:r>
            <w:r>
              <w:rPr>
                <w:sz w:val="22"/>
                <w:szCs w:val="22"/>
              </w:rPr>
              <w:t>6</w:t>
            </w:r>
          </w:p>
        </w:tc>
        <w:tc>
          <w:tcPr>
            <w:tcW w:w="812" w:type="dxa"/>
            <w:tcBorders>
              <w:top w:val="dotted" w:sz="4" w:space="0" w:color="auto"/>
              <w:bottom w:val="dotted" w:sz="4" w:space="0" w:color="auto"/>
            </w:tcBorders>
            <w:shd w:val="clear" w:color="auto" w:fill="auto"/>
            <w:noWrap/>
          </w:tcPr>
          <w:p w14:paraId="44B26AD1" w14:textId="10E4DC22" w:rsidR="00850E82" w:rsidRPr="00441851" w:rsidRDefault="00850E82" w:rsidP="00850E82">
            <w:pPr>
              <w:rPr>
                <w:sz w:val="22"/>
                <w:szCs w:val="22"/>
              </w:rPr>
            </w:pPr>
            <w:r w:rsidRPr="00441851">
              <w:rPr>
                <w:sz w:val="22"/>
                <w:szCs w:val="22"/>
              </w:rPr>
              <w:t>11/</w:t>
            </w:r>
            <w:r>
              <w:rPr>
                <w:sz w:val="22"/>
                <w:szCs w:val="22"/>
              </w:rPr>
              <w:t>16</w:t>
            </w:r>
          </w:p>
        </w:tc>
        <w:tc>
          <w:tcPr>
            <w:tcW w:w="5582" w:type="dxa"/>
            <w:tcBorders>
              <w:top w:val="dotted" w:sz="4" w:space="0" w:color="auto"/>
              <w:bottom w:val="dotted" w:sz="4" w:space="0" w:color="auto"/>
            </w:tcBorders>
            <w:shd w:val="clear" w:color="auto" w:fill="auto"/>
            <w:noWrap/>
          </w:tcPr>
          <w:p w14:paraId="0BB89BDC" w14:textId="0EAA6D5E" w:rsidR="00850E82" w:rsidRPr="00441851" w:rsidRDefault="00850E82" w:rsidP="00850E82">
            <w:pPr>
              <w:rPr>
                <w:sz w:val="22"/>
                <w:szCs w:val="22"/>
              </w:rPr>
            </w:pPr>
            <w:r w:rsidRPr="00441851">
              <w:rPr>
                <w:sz w:val="22"/>
                <w:szCs w:val="22"/>
              </w:rPr>
              <w:t>Migration (Yang 2008)</w:t>
            </w:r>
          </w:p>
        </w:tc>
        <w:tc>
          <w:tcPr>
            <w:tcW w:w="2520" w:type="dxa"/>
            <w:tcBorders>
              <w:top w:val="dotted" w:sz="4" w:space="0" w:color="auto"/>
              <w:bottom w:val="dotted" w:sz="4" w:space="0" w:color="auto"/>
            </w:tcBorders>
            <w:shd w:val="clear" w:color="auto" w:fill="auto"/>
            <w:noWrap/>
          </w:tcPr>
          <w:p w14:paraId="444008C9" w14:textId="6622AA92" w:rsidR="00850E82" w:rsidRPr="00441851" w:rsidRDefault="00850E82" w:rsidP="00850E82">
            <w:pPr>
              <w:rPr>
                <w:sz w:val="22"/>
                <w:szCs w:val="22"/>
              </w:rPr>
            </w:pPr>
          </w:p>
        </w:tc>
      </w:tr>
      <w:tr w:rsidR="00850E82" w:rsidRPr="00441851" w14:paraId="001379DE" w14:textId="77777777" w:rsidTr="00224253">
        <w:trPr>
          <w:trHeight w:val="288"/>
          <w:jc w:val="center"/>
        </w:trPr>
        <w:tc>
          <w:tcPr>
            <w:tcW w:w="630" w:type="dxa"/>
            <w:tcBorders>
              <w:top w:val="dotted" w:sz="4" w:space="0" w:color="auto"/>
              <w:bottom w:val="dotted" w:sz="4" w:space="0" w:color="auto"/>
            </w:tcBorders>
            <w:shd w:val="clear" w:color="auto" w:fill="auto"/>
            <w:noWrap/>
          </w:tcPr>
          <w:p w14:paraId="2CD6DFF8" w14:textId="287FCDE1" w:rsidR="00850E82" w:rsidRPr="00441851" w:rsidRDefault="00850E82" w:rsidP="00850E82">
            <w:pPr>
              <w:jc w:val="center"/>
              <w:rPr>
                <w:sz w:val="22"/>
                <w:szCs w:val="22"/>
              </w:rPr>
            </w:pPr>
            <w:r w:rsidRPr="00441851">
              <w:rPr>
                <w:sz w:val="22"/>
                <w:szCs w:val="22"/>
              </w:rPr>
              <w:t>2</w:t>
            </w:r>
            <w:r>
              <w:rPr>
                <w:sz w:val="22"/>
                <w:szCs w:val="22"/>
              </w:rPr>
              <w:t>7</w:t>
            </w:r>
          </w:p>
        </w:tc>
        <w:tc>
          <w:tcPr>
            <w:tcW w:w="812" w:type="dxa"/>
            <w:tcBorders>
              <w:top w:val="dotted" w:sz="4" w:space="0" w:color="auto"/>
              <w:bottom w:val="dotted" w:sz="4" w:space="0" w:color="auto"/>
            </w:tcBorders>
            <w:shd w:val="clear" w:color="auto" w:fill="auto"/>
            <w:noWrap/>
          </w:tcPr>
          <w:p w14:paraId="4A5AF686" w14:textId="73636BDD" w:rsidR="00850E82" w:rsidRPr="00441851" w:rsidRDefault="00850E82" w:rsidP="00850E82">
            <w:pPr>
              <w:rPr>
                <w:sz w:val="22"/>
                <w:szCs w:val="22"/>
              </w:rPr>
            </w:pPr>
            <w:r w:rsidRPr="00441851">
              <w:rPr>
                <w:sz w:val="22"/>
                <w:szCs w:val="22"/>
              </w:rPr>
              <w:t>11/</w:t>
            </w:r>
            <w:r>
              <w:rPr>
                <w:sz w:val="22"/>
                <w:szCs w:val="22"/>
              </w:rPr>
              <w:t>21</w:t>
            </w:r>
          </w:p>
        </w:tc>
        <w:tc>
          <w:tcPr>
            <w:tcW w:w="5582" w:type="dxa"/>
            <w:tcBorders>
              <w:top w:val="dotted" w:sz="4" w:space="0" w:color="auto"/>
              <w:bottom w:val="dotted" w:sz="4" w:space="0" w:color="auto"/>
            </w:tcBorders>
            <w:shd w:val="clear" w:color="auto" w:fill="auto"/>
            <w:noWrap/>
          </w:tcPr>
          <w:p w14:paraId="1EB04CD2" w14:textId="1AAD3B61" w:rsidR="00850E82" w:rsidRPr="00441851" w:rsidRDefault="00850E82" w:rsidP="00850E82">
            <w:pPr>
              <w:rPr>
                <w:sz w:val="22"/>
                <w:szCs w:val="22"/>
              </w:rPr>
            </w:pPr>
            <w:r w:rsidRPr="00441851">
              <w:rPr>
                <w:sz w:val="22"/>
                <w:szCs w:val="22"/>
              </w:rPr>
              <w:t>Migration (Munshi 2003)</w:t>
            </w:r>
          </w:p>
        </w:tc>
        <w:tc>
          <w:tcPr>
            <w:tcW w:w="2520" w:type="dxa"/>
            <w:tcBorders>
              <w:top w:val="dotted" w:sz="4" w:space="0" w:color="auto"/>
              <w:bottom w:val="dotted" w:sz="4" w:space="0" w:color="auto"/>
            </w:tcBorders>
            <w:shd w:val="clear" w:color="auto" w:fill="auto"/>
            <w:noWrap/>
          </w:tcPr>
          <w:p w14:paraId="6C7FDB78" w14:textId="77777777" w:rsidR="00850E82" w:rsidRPr="00441851" w:rsidRDefault="00850E82" w:rsidP="00850E82">
            <w:pPr>
              <w:rPr>
                <w:sz w:val="22"/>
                <w:szCs w:val="22"/>
              </w:rPr>
            </w:pPr>
          </w:p>
        </w:tc>
      </w:tr>
      <w:tr w:rsidR="00850E82" w:rsidRPr="00441851" w14:paraId="0A0403F5" w14:textId="77777777" w:rsidTr="00224253">
        <w:trPr>
          <w:trHeight w:val="288"/>
          <w:jc w:val="center"/>
        </w:trPr>
        <w:tc>
          <w:tcPr>
            <w:tcW w:w="630" w:type="dxa"/>
            <w:tcBorders>
              <w:top w:val="dotted" w:sz="4" w:space="0" w:color="auto"/>
              <w:bottom w:val="dotted" w:sz="4" w:space="0" w:color="auto"/>
            </w:tcBorders>
            <w:shd w:val="clear" w:color="auto" w:fill="auto"/>
            <w:noWrap/>
          </w:tcPr>
          <w:p w14:paraId="0636E316" w14:textId="7C2839BF" w:rsidR="00850E82" w:rsidRPr="00441851" w:rsidRDefault="00850E82" w:rsidP="00850E82">
            <w:pPr>
              <w:jc w:val="center"/>
              <w:rPr>
                <w:sz w:val="22"/>
                <w:szCs w:val="22"/>
              </w:rPr>
            </w:pPr>
            <w:r w:rsidRPr="00441851">
              <w:rPr>
                <w:sz w:val="22"/>
                <w:szCs w:val="22"/>
              </w:rPr>
              <w:t>2</w:t>
            </w:r>
            <w:r>
              <w:rPr>
                <w:sz w:val="22"/>
                <w:szCs w:val="22"/>
              </w:rPr>
              <w:t>8</w:t>
            </w:r>
          </w:p>
        </w:tc>
        <w:tc>
          <w:tcPr>
            <w:tcW w:w="812" w:type="dxa"/>
            <w:tcBorders>
              <w:top w:val="dotted" w:sz="4" w:space="0" w:color="auto"/>
              <w:bottom w:val="dotted" w:sz="4" w:space="0" w:color="auto"/>
            </w:tcBorders>
            <w:shd w:val="clear" w:color="auto" w:fill="auto"/>
            <w:noWrap/>
          </w:tcPr>
          <w:p w14:paraId="02B287A2" w14:textId="28458C04" w:rsidR="00850E82" w:rsidRPr="00441851" w:rsidRDefault="00850E82" w:rsidP="00850E82">
            <w:pPr>
              <w:rPr>
                <w:sz w:val="22"/>
                <w:szCs w:val="22"/>
              </w:rPr>
            </w:pPr>
            <w:r w:rsidRPr="00441851">
              <w:rPr>
                <w:sz w:val="22"/>
                <w:szCs w:val="22"/>
              </w:rPr>
              <w:t>11/</w:t>
            </w:r>
            <w:r>
              <w:rPr>
                <w:sz w:val="22"/>
                <w:szCs w:val="22"/>
              </w:rPr>
              <w:t>28</w:t>
            </w:r>
          </w:p>
        </w:tc>
        <w:tc>
          <w:tcPr>
            <w:tcW w:w="5582" w:type="dxa"/>
            <w:tcBorders>
              <w:top w:val="dotted" w:sz="4" w:space="0" w:color="auto"/>
              <w:bottom w:val="dotted" w:sz="4" w:space="0" w:color="auto"/>
            </w:tcBorders>
            <w:shd w:val="clear" w:color="auto" w:fill="auto"/>
            <w:noWrap/>
          </w:tcPr>
          <w:p w14:paraId="1609FB4F" w14:textId="5EDCEB3B" w:rsidR="00850E82" w:rsidRPr="00441851" w:rsidRDefault="00850E82" w:rsidP="00850E82">
            <w:pPr>
              <w:rPr>
                <w:sz w:val="22"/>
                <w:szCs w:val="22"/>
              </w:rPr>
            </w:pPr>
            <w:r w:rsidRPr="00441851">
              <w:rPr>
                <w:sz w:val="22"/>
                <w:szCs w:val="22"/>
              </w:rPr>
              <w:t>Catch-up day</w:t>
            </w:r>
          </w:p>
        </w:tc>
        <w:tc>
          <w:tcPr>
            <w:tcW w:w="2520" w:type="dxa"/>
            <w:tcBorders>
              <w:top w:val="dotted" w:sz="4" w:space="0" w:color="auto"/>
              <w:bottom w:val="dotted" w:sz="4" w:space="0" w:color="auto"/>
            </w:tcBorders>
            <w:shd w:val="clear" w:color="auto" w:fill="auto"/>
            <w:noWrap/>
          </w:tcPr>
          <w:p w14:paraId="17FAC27D" w14:textId="713C8701" w:rsidR="00850E82" w:rsidRPr="00441851" w:rsidRDefault="00850E82" w:rsidP="00850E82">
            <w:pPr>
              <w:rPr>
                <w:sz w:val="22"/>
                <w:szCs w:val="22"/>
              </w:rPr>
            </w:pPr>
          </w:p>
        </w:tc>
      </w:tr>
      <w:tr w:rsidR="00850E82" w:rsidRPr="00441851" w14:paraId="01CAC24C" w14:textId="77777777" w:rsidTr="00224253">
        <w:trPr>
          <w:trHeight w:val="288"/>
          <w:jc w:val="center"/>
        </w:trPr>
        <w:tc>
          <w:tcPr>
            <w:tcW w:w="630" w:type="dxa"/>
            <w:tcBorders>
              <w:top w:val="dotted" w:sz="4" w:space="0" w:color="auto"/>
              <w:bottom w:val="dotted" w:sz="4" w:space="0" w:color="auto"/>
            </w:tcBorders>
            <w:noWrap/>
            <w:hideMark/>
          </w:tcPr>
          <w:p w14:paraId="6BE76854" w14:textId="77777777" w:rsidR="00850E82" w:rsidRPr="00441851" w:rsidRDefault="00850E82" w:rsidP="00850E82">
            <w:pPr>
              <w:jc w:val="center"/>
              <w:rPr>
                <w:sz w:val="22"/>
                <w:szCs w:val="22"/>
              </w:rPr>
            </w:pPr>
            <w:r w:rsidRPr="00441851">
              <w:rPr>
                <w:sz w:val="22"/>
                <w:szCs w:val="22"/>
              </w:rPr>
              <w:t>29</w:t>
            </w:r>
          </w:p>
        </w:tc>
        <w:tc>
          <w:tcPr>
            <w:tcW w:w="812" w:type="dxa"/>
            <w:tcBorders>
              <w:top w:val="dotted" w:sz="4" w:space="0" w:color="auto"/>
              <w:bottom w:val="dotted" w:sz="4" w:space="0" w:color="auto"/>
            </w:tcBorders>
            <w:noWrap/>
          </w:tcPr>
          <w:p w14:paraId="279A5414" w14:textId="7F17EBFC" w:rsidR="00850E82" w:rsidRPr="00441851" w:rsidRDefault="00850E82" w:rsidP="00850E82">
            <w:pPr>
              <w:rPr>
                <w:sz w:val="22"/>
                <w:szCs w:val="22"/>
              </w:rPr>
            </w:pPr>
            <w:r w:rsidRPr="00441851">
              <w:rPr>
                <w:sz w:val="22"/>
                <w:szCs w:val="22"/>
              </w:rPr>
              <w:t>1</w:t>
            </w:r>
            <w:r>
              <w:rPr>
                <w:sz w:val="22"/>
                <w:szCs w:val="22"/>
              </w:rPr>
              <w:t>1</w:t>
            </w:r>
            <w:r w:rsidRPr="00441851">
              <w:rPr>
                <w:sz w:val="22"/>
                <w:szCs w:val="22"/>
              </w:rPr>
              <w:t>/</w:t>
            </w:r>
            <w:r>
              <w:rPr>
                <w:sz w:val="22"/>
                <w:szCs w:val="22"/>
              </w:rPr>
              <w:t>30</w:t>
            </w:r>
          </w:p>
        </w:tc>
        <w:tc>
          <w:tcPr>
            <w:tcW w:w="5582" w:type="dxa"/>
            <w:tcBorders>
              <w:top w:val="dotted" w:sz="4" w:space="0" w:color="auto"/>
              <w:bottom w:val="dotted" w:sz="4" w:space="0" w:color="auto"/>
            </w:tcBorders>
            <w:noWrap/>
          </w:tcPr>
          <w:p w14:paraId="66985CF4" w14:textId="579E8E60" w:rsidR="00850E82" w:rsidRPr="00441851" w:rsidRDefault="00850E82" w:rsidP="00850E82">
            <w:pPr>
              <w:rPr>
                <w:sz w:val="22"/>
                <w:szCs w:val="22"/>
              </w:rPr>
            </w:pPr>
            <w:r w:rsidRPr="00441851">
              <w:rPr>
                <w:sz w:val="22"/>
                <w:szCs w:val="22"/>
              </w:rPr>
              <w:t>P</w:t>
            </w:r>
            <w:r>
              <w:rPr>
                <w:sz w:val="22"/>
                <w:szCs w:val="22"/>
              </w:rPr>
              <w:t>aper presentation</w:t>
            </w:r>
          </w:p>
        </w:tc>
        <w:tc>
          <w:tcPr>
            <w:tcW w:w="2520" w:type="dxa"/>
            <w:tcBorders>
              <w:top w:val="dotted" w:sz="4" w:space="0" w:color="auto"/>
              <w:bottom w:val="dotted" w:sz="4" w:space="0" w:color="auto"/>
            </w:tcBorders>
            <w:noWrap/>
          </w:tcPr>
          <w:p w14:paraId="7E32E6BC" w14:textId="2FAAAB8F" w:rsidR="00850E82" w:rsidRPr="00441851" w:rsidRDefault="00850E82" w:rsidP="00850E82">
            <w:pPr>
              <w:rPr>
                <w:sz w:val="22"/>
                <w:szCs w:val="22"/>
              </w:rPr>
            </w:pPr>
          </w:p>
        </w:tc>
      </w:tr>
      <w:tr w:rsidR="00850E82" w:rsidRPr="00441851" w14:paraId="589D9F93" w14:textId="77777777" w:rsidTr="00224253">
        <w:trPr>
          <w:trHeight w:val="288"/>
          <w:jc w:val="center"/>
        </w:trPr>
        <w:tc>
          <w:tcPr>
            <w:tcW w:w="630" w:type="dxa"/>
            <w:tcBorders>
              <w:top w:val="dotted" w:sz="4" w:space="0" w:color="auto"/>
              <w:bottom w:val="single" w:sz="4" w:space="0" w:color="auto"/>
            </w:tcBorders>
            <w:noWrap/>
          </w:tcPr>
          <w:p w14:paraId="5A8C84CC" w14:textId="77777777" w:rsidR="00850E82" w:rsidRPr="00441851" w:rsidRDefault="00850E82" w:rsidP="00850E82">
            <w:pPr>
              <w:jc w:val="center"/>
              <w:rPr>
                <w:sz w:val="22"/>
                <w:szCs w:val="22"/>
              </w:rPr>
            </w:pPr>
            <w:r w:rsidRPr="00441851">
              <w:rPr>
                <w:sz w:val="22"/>
                <w:szCs w:val="22"/>
              </w:rPr>
              <w:t>30</w:t>
            </w:r>
          </w:p>
        </w:tc>
        <w:tc>
          <w:tcPr>
            <w:tcW w:w="812" w:type="dxa"/>
            <w:tcBorders>
              <w:top w:val="dotted" w:sz="4" w:space="0" w:color="auto"/>
              <w:bottom w:val="single" w:sz="4" w:space="0" w:color="auto"/>
            </w:tcBorders>
            <w:noWrap/>
          </w:tcPr>
          <w:p w14:paraId="5BCF5FE0" w14:textId="2B7E4617" w:rsidR="00850E82" w:rsidRPr="00441851" w:rsidRDefault="00850E82" w:rsidP="00850E82">
            <w:pPr>
              <w:rPr>
                <w:sz w:val="22"/>
                <w:szCs w:val="22"/>
              </w:rPr>
            </w:pPr>
            <w:r>
              <w:rPr>
                <w:sz w:val="22"/>
                <w:szCs w:val="22"/>
              </w:rPr>
              <w:t>12/7</w:t>
            </w:r>
          </w:p>
        </w:tc>
        <w:tc>
          <w:tcPr>
            <w:tcW w:w="5582" w:type="dxa"/>
            <w:tcBorders>
              <w:top w:val="dotted" w:sz="4" w:space="0" w:color="auto"/>
              <w:bottom w:val="single" w:sz="4" w:space="0" w:color="auto"/>
            </w:tcBorders>
            <w:noWrap/>
          </w:tcPr>
          <w:p w14:paraId="3D9DF615" w14:textId="1CA31813" w:rsidR="00850E82" w:rsidRPr="00441851" w:rsidRDefault="00850E82" w:rsidP="00850E82">
            <w:pPr>
              <w:rPr>
                <w:sz w:val="22"/>
                <w:szCs w:val="22"/>
              </w:rPr>
            </w:pPr>
            <w:r>
              <w:rPr>
                <w:sz w:val="22"/>
                <w:szCs w:val="22"/>
              </w:rPr>
              <w:t>Paper presentation 12:00-1:15</w:t>
            </w:r>
          </w:p>
        </w:tc>
        <w:tc>
          <w:tcPr>
            <w:tcW w:w="2520" w:type="dxa"/>
            <w:tcBorders>
              <w:top w:val="dotted" w:sz="4" w:space="0" w:color="auto"/>
              <w:bottom w:val="single" w:sz="4" w:space="0" w:color="auto"/>
            </w:tcBorders>
            <w:noWrap/>
          </w:tcPr>
          <w:p w14:paraId="6FF65812" w14:textId="6695D4C5" w:rsidR="00850E82" w:rsidRPr="00441851" w:rsidRDefault="00850E82" w:rsidP="00850E82">
            <w:pPr>
              <w:rPr>
                <w:sz w:val="22"/>
                <w:szCs w:val="22"/>
              </w:rPr>
            </w:pPr>
          </w:p>
        </w:tc>
      </w:tr>
    </w:tbl>
    <w:p w14:paraId="7C3770B7" w14:textId="75EC0CA5" w:rsidR="004839B7" w:rsidRDefault="004839B7" w:rsidP="00104E3A"/>
    <w:p w14:paraId="1558B8E0" w14:textId="77777777" w:rsidR="00834526" w:rsidRDefault="00834526" w:rsidP="00104E3A"/>
    <w:p w14:paraId="1E859487" w14:textId="62EF05F8" w:rsidR="005D0FC8" w:rsidRDefault="005D0FC8" w:rsidP="00104E3A">
      <w:r>
        <w:t>The papers presented by students are marked with a pound (#).</w:t>
      </w:r>
    </w:p>
    <w:p w14:paraId="3BC76DF7" w14:textId="3E3F19E6" w:rsidR="00DF158C" w:rsidRDefault="00DF158C" w:rsidP="00104E3A">
      <w:r>
        <w:t>The required readings are marked with an asterisk</w:t>
      </w:r>
      <w:r w:rsidR="005D0FC8">
        <w:t xml:space="preserve"> (*)</w:t>
      </w:r>
      <w:r>
        <w:t>.</w:t>
      </w:r>
    </w:p>
    <w:p w14:paraId="265B19B4" w14:textId="77777777" w:rsidR="005C25A7" w:rsidRDefault="005C25A7" w:rsidP="00104E3A"/>
    <w:p w14:paraId="7BFBA5CC" w14:textId="7C8CFECA" w:rsidR="005825DE" w:rsidRPr="00104E3A" w:rsidRDefault="0051661E" w:rsidP="00104E3A">
      <w:pPr>
        <w:pStyle w:val="Heading2"/>
      </w:pPr>
      <w:r w:rsidRPr="00104E3A">
        <w:t>Introduction</w:t>
      </w:r>
    </w:p>
    <w:p w14:paraId="641720E8" w14:textId="37D53A06" w:rsidR="006D452F" w:rsidRDefault="006D452F" w:rsidP="006D452F">
      <w:pPr>
        <w:pStyle w:val="ListParagraph"/>
        <w:numPr>
          <w:ilvl w:val="0"/>
          <w:numId w:val="2"/>
        </w:numPr>
      </w:pPr>
      <w:r w:rsidRPr="006D452F">
        <w:t xml:space="preserve">Banerjee, A. V., &amp; </w:t>
      </w:r>
      <w:proofErr w:type="spellStart"/>
      <w:r w:rsidRPr="006D452F">
        <w:t>Duflo</w:t>
      </w:r>
      <w:proofErr w:type="spellEnd"/>
      <w:r w:rsidRPr="006D452F">
        <w:t xml:space="preserve">, E. (2007). </w:t>
      </w:r>
      <w:r>
        <w:t>“</w:t>
      </w:r>
      <w:r w:rsidRPr="006D452F">
        <w:t>The economic lives of the poor.</w:t>
      </w:r>
      <w:r>
        <w:t xml:space="preserve">” </w:t>
      </w:r>
      <w:r w:rsidRPr="006D452F">
        <w:t xml:space="preserve"> </w:t>
      </w:r>
      <w:r w:rsidRPr="006D452F">
        <w:rPr>
          <w:i/>
        </w:rPr>
        <w:t>Journal of Economic Perspectives</w:t>
      </w:r>
      <w:r w:rsidRPr="006D452F">
        <w:t>, 21(1), 141-168.</w:t>
      </w:r>
    </w:p>
    <w:p w14:paraId="43184AEE" w14:textId="190AE619" w:rsidR="00FA6F40" w:rsidRPr="00C17C7E" w:rsidRDefault="006D452F" w:rsidP="00C17C7E">
      <w:pPr>
        <w:pStyle w:val="ListParagraph"/>
        <w:numPr>
          <w:ilvl w:val="0"/>
          <w:numId w:val="2"/>
        </w:numPr>
      </w:pPr>
      <w:r w:rsidRPr="006D452F">
        <w:t xml:space="preserve">Schultz, T. W. (1980). </w:t>
      </w:r>
      <w:r>
        <w:t>“</w:t>
      </w:r>
      <w:r w:rsidRPr="006D452F">
        <w:t>Nobel lecture: The economics of being poor.</w:t>
      </w:r>
      <w:r>
        <w:t>”</w:t>
      </w:r>
      <w:r w:rsidRPr="006D452F">
        <w:t xml:space="preserve"> </w:t>
      </w:r>
      <w:r w:rsidRPr="006D452F">
        <w:rPr>
          <w:i/>
        </w:rPr>
        <w:t xml:space="preserve">Journal of </w:t>
      </w:r>
      <w:r>
        <w:rPr>
          <w:i/>
        </w:rPr>
        <w:t>P</w:t>
      </w:r>
      <w:r w:rsidRPr="006D452F">
        <w:rPr>
          <w:i/>
        </w:rPr>
        <w:t>olitical Economy</w:t>
      </w:r>
      <w:r w:rsidRPr="006D452F">
        <w:t xml:space="preserve">, 88(4), 639-651. </w:t>
      </w:r>
    </w:p>
    <w:p w14:paraId="69FC810F" w14:textId="77777777" w:rsidR="0051661E" w:rsidRPr="0051661E" w:rsidRDefault="0051661E" w:rsidP="00104E3A"/>
    <w:p w14:paraId="0CA3D8D6" w14:textId="0DD42C07" w:rsidR="004E401A" w:rsidRDefault="00E01E89" w:rsidP="00104E3A">
      <w:pPr>
        <w:pStyle w:val="Heading2"/>
      </w:pPr>
      <w:r>
        <w:t>I</w:t>
      </w:r>
      <w:r w:rsidR="005825DE" w:rsidRPr="005B0BB6">
        <w:t>nstitutions</w:t>
      </w:r>
      <w:r w:rsidR="00AF18BA">
        <w:t xml:space="preserve">, </w:t>
      </w:r>
      <w:r w:rsidR="001E603D">
        <w:t>corruption</w:t>
      </w:r>
      <w:r w:rsidR="00AF18BA">
        <w:t xml:space="preserve"> and </w:t>
      </w:r>
      <w:r w:rsidR="008379B9">
        <w:t>conflict</w:t>
      </w:r>
    </w:p>
    <w:p w14:paraId="68BDB7C4" w14:textId="70B0E7D1" w:rsidR="006B15A9" w:rsidRPr="006B15A9" w:rsidRDefault="006B15A9" w:rsidP="006B15A9">
      <w:pPr>
        <w:rPr>
          <w:i/>
        </w:rPr>
      </w:pPr>
      <w:r w:rsidRPr="006B15A9">
        <w:rPr>
          <w:i/>
        </w:rPr>
        <w:t>Institutions</w:t>
      </w:r>
    </w:p>
    <w:p w14:paraId="52B8BD9B" w14:textId="16217D0A" w:rsidR="005B0BB6" w:rsidRDefault="00FD1E3C" w:rsidP="00104E3A">
      <w:pPr>
        <w:pStyle w:val="ListParagraph"/>
        <w:numPr>
          <w:ilvl w:val="0"/>
          <w:numId w:val="5"/>
        </w:numPr>
      </w:pPr>
      <w:r>
        <w:lastRenderedPageBreak/>
        <w:t>*</w:t>
      </w:r>
      <w:r w:rsidR="005B0BB6" w:rsidRPr="004E401A">
        <w:t xml:space="preserve">Acemoglu, Daron, Simon Johnson, and James A. Robinson “The Colonial Origins of Comparative Development: An Empirical Investigation” </w:t>
      </w:r>
      <w:r w:rsidR="005B0BB6" w:rsidRPr="007B4D73">
        <w:rPr>
          <w:i/>
        </w:rPr>
        <w:t>American Economic Review</w:t>
      </w:r>
      <w:r w:rsidR="005B0BB6" w:rsidRPr="004E401A">
        <w:t xml:space="preserve"> 91(5): 1369-1401 (2001)</w:t>
      </w:r>
    </w:p>
    <w:p w14:paraId="0F7B060B" w14:textId="7ED5A0B9" w:rsidR="00DE73EB" w:rsidRDefault="00DE73EB" w:rsidP="00104E3A">
      <w:pPr>
        <w:pStyle w:val="ListParagraph"/>
        <w:numPr>
          <w:ilvl w:val="0"/>
          <w:numId w:val="5"/>
        </w:numPr>
      </w:pPr>
      <w:proofErr w:type="spellStart"/>
      <w:r w:rsidRPr="00DE73EB">
        <w:t>Albouy</w:t>
      </w:r>
      <w:proofErr w:type="spellEnd"/>
      <w:r w:rsidRPr="00DE73EB">
        <w:t xml:space="preserve">, David; “The Colonial Origins of Comparative Development: An Empirical Investigation: Comment” </w:t>
      </w:r>
      <w:r w:rsidRPr="007B4D73">
        <w:rPr>
          <w:i/>
        </w:rPr>
        <w:t>AER</w:t>
      </w:r>
      <w:r w:rsidRPr="00DE73EB">
        <w:t>, 2012</w:t>
      </w:r>
    </w:p>
    <w:p w14:paraId="22A7481F" w14:textId="77777777" w:rsidR="00932A72" w:rsidRDefault="00932A72" w:rsidP="00932A72">
      <w:pPr>
        <w:pStyle w:val="ListParagraph"/>
        <w:numPr>
          <w:ilvl w:val="0"/>
          <w:numId w:val="5"/>
        </w:numPr>
      </w:pPr>
      <w:r w:rsidRPr="009B55F1">
        <w:t xml:space="preserve">*Dell, M. (2010). “The persistent effects of Peru's mining </w:t>
      </w:r>
      <w:proofErr w:type="spellStart"/>
      <w:r w:rsidRPr="009B55F1">
        <w:t>mita</w:t>
      </w:r>
      <w:proofErr w:type="spellEnd"/>
      <w:r w:rsidRPr="009B55F1">
        <w:t xml:space="preserve">.” </w:t>
      </w:r>
      <w:proofErr w:type="spellStart"/>
      <w:r w:rsidRPr="009B55F1">
        <w:rPr>
          <w:i/>
        </w:rPr>
        <w:t>Econometrica</w:t>
      </w:r>
      <w:proofErr w:type="spellEnd"/>
      <w:r w:rsidRPr="009B55F1">
        <w:t>, 78(6), 1863-1903.</w:t>
      </w:r>
    </w:p>
    <w:p w14:paraId="340912EE" w14:textId="57AEFCE8" w:rsidR="006B15A9" w:rsidRPr="00DE73EB" w:rsidRDefault="00922144" w:rsidP="009B55F1">
      <w:pPr>
        <w:pStyle w:val="ListParagraph"/>
        <w:numPr>
          <w:ilvl w:val="0"/>
          <w:numId w:val="5"/>
        </w:numPr>
      </w:pPr>
      <w:r w:rsidRPr="00E56EB6">
        <w:t>Nunn, Nathan “The Importance of History for Economic Development” Annual Review of Economics 1: 65-92 (2009)</w:t>
      </w:r>
      <w:r w:rsidRPr="00922144">
        <w:t xml:space="preserve"> </w:t>
      </w:r>
    </w:p>
    <w:p w14:paraId="7C3DF2F0" w14:textId="4A809E6A" w:rsidR="006B15A9" w:rsidRPr="006B15A9" w:rsidRDefault="006B15A9" w:rsidP="006B15A9">
      <w:pPr>
        <w:rPr>
          <w:i/>
        </w:rPr>
      </w:pPr>
      <w:r w:rsidRPr="006B15A9">
        <w:rPr>
          <w:i/>
        </w:rPr>
        <w:t>Corruption</w:t>
      </w:r>
    </w:p>
    <w:p w14:paraId="2B89F87D" w14:textId="493ADECD" w:rsidR="0031271E" w:rsidRDefault="0031271E" w:rsidP="0031271E">
      <w:pPr>
        <w:pStyle w:val="ListParagraph"/>
        <w:numPr>
          <w:ilvl w:val="0"/>
          <w:numId w:val="3"/>
        </w:numPr>
      </w:pPr>
      <w:r w:rsidRPr="00FF10B8">
        <w:t xml:space="preserve">* </w:t>
      </w:r>
      <w:proofErr w:type="spellStart"/>
      <w:r w:rsidRPr="00FF10B8">
        <w:t>Ferraz</w:t>
      </w:r>
      <w:proofErr w:type="spellEnd"/>
      <w:r w:rsidRPr="00FF10B8">
        <w:t xml:space="preserve">, C. &amp; </w:t>
      </w:r>
      <w:proofErr w:type="spellStart"/>
      <w:r w:rsidRPr="00FF10B8">
        <w:t>Finan</w:t>
      </w:r>
      <w:proofErr w:type="spellEnd"/>
      <w:r w:rsidRPr="00FF10B8">
        <w:t xml:space="preserve">, F. (2008), “Exposing Corrupt Politicians: The Effect of </w:t>
      </w:r>
      <w:proofErr w:type="spellStart"/>
      <w:r w:rsidRPr="00FF10B8">
        <w:t>Brazils</w:t>
      </w:r>
      <w:proofErr w:type="spellEnd"/>
      <w:r w:rsidRPr="00FF10B8">
        <w:t xml:space="preserve"> Publicly Released Audits on Electoral Outcomes,” Quarterly Journal of Economics 123(2), 703-745.</w:t>
      </w:r>
    </w:p>
    <w:p w14:paraId="72824BDD" w14:textId="63C93E96" w:rsidR="006B15A9" w:rsidRDefault="006B15A9" w:rsidP="0031271E">
      <w:pPr>
        <w:pStyle w:val="ListParagraph"/>
        <w:numPr>
          <w:ilvl w:val="0"/>
          <w:numId w:val="3"/>
        </w:numPr>
      </w:pPr>
      <w:r w:rsidRPr="006B15A9">
        <w:t xml:space="preserve">Avis, E., </w:t>
      </w:r>
      <w:proofErr w:type="spellStart"/>
      <w:r w:rsidRPr="006B15A9">
        <w:t>Ferraz</w:t>
      </w:r>
      <w:proofErr w:type="spellEnd"/>
      <w:r w:rsidRPr="006B15A9">
        <w:t xml:space="preserve">, C., &amp; </w:t>
      </w:r>
      <w:proofErr w:type="spellStart"/>
      <w:r w:rsidRPr="006B15A9">
        <w:t>Finan</w:t>
      </w:r>
      <w:proofErr w:type="spellEnd"/>
      <w:r w:rsidRPr="006B15A9">
        <w:t>, F. (2018). Do government audits reduce corruption? Estimating the impacts of exposing corrupt politicians. Journal of Political Economy, 126(5), 1912-1964.</w:t>
      </w:r>
    </w:p>
    <w:p w14:paraId="0C170CC5" w14:textId="7238D3CF" w:rsidR="007A1AA8" w:rsidRDefault="00257121" w:rsidP="007A1AA8">
      <w:pPr>
        <w:pStyle w:val="ListParagraph"/>
        <w:numPr>
          <w:ilvl w:val="0"/>
          <w:numId w:val="4"/>
        </w:numPr>
      </w:pPr>
      <w:proofErr w:type="spellStart"/>
      <w:r w:rsidRPr="0099229A">
        <w:t>Olken</w:t>
      </w:r>
      <w:proofErr w:type="spellEnd"/>
      <w:r w:rsidRPr="0099229A">
        <w:t>, Ben and Rohini Pande (2012) “Corruption in Developing Countries”, Annual Review of Economics, Vol. 4.</w:t>
      </w:r>
    </w:p>
    <w:p w14:paraId="12343B0A" w14:textId="2A1B8DAE" w:rsidR="00507FB6" w:rsidRPr="008379B9" w:rsidRDefault="00507FB6" w:rsidP="007A1AA8">
      <w:pPr>
        <w:rPr>
          <w:i/>
        </w:rPr>
      </w:pPr>
      <w:r w:rsidRPr="008379B9">
        <w:rPr>
          <w:i/>
        </w:rPr>
        <w:t>Conflic</w:t>
      </w:r>
      <w:r w:rsidR="008A5935" w:rsidRPr="008379B9">
        <w:rPr>
          <w:i/>
        </w:rPr>
        <w:t>t</w:t>
      </w:r>
    </w:p>
    <w:p w14:paraId="548F7088" w14:textId="39B1725E" w:rsidR="008A5935" w:rsidRDefault="000F680F" w:rsidP="008A5935">
      <w:pPr>
        <w:pStyle w:val="ListParagraph"/>
        <w:numPr>
          <w:ilvl w:val="0"/>
          <w:numId w:val="20"/>
        </w:numPr>
      </w:pPr>
      <w:r>
        <w:t xml:space="preserve"># </w:t>
      </w:r>
      <w:r w:rsidR="008A5935" w:rsidRPr="008A5935">
        <w:t>Dell, M., &amp; Querubin, P. (201</w:t>
      </w:r>
      <w:r w:rsidR="00151C29">
        <w:t>8</w:t>
      </w:r>
      <w:r w:rsidR="008A5935" w:rsidRPr="008A5935">
        <w:t>). Nation building through foreign intervention: Evidence from discontinuities in military strategies. The Quarterly Journal of Economics, 133(2), 701-764.</w:t>
      </w:r>
    </w:p>
    <w:p w14:paraId="422687DC" w14:textId="63C6EE6A" w:rsidR="005866C2" w:rsidRDefault="005866C2" w:rsidP="00FF10B8">
      <w:pPr>
        <w:pStyle w:val="ListParagraph"/>
        <w:numPr>
          <w:ilvl w:val="0"/>
          <w:numId w:val="20"/>
        </w:numPr>
      </w:pPr>
      <w:r>
        <w:t>Miguel, E. and G. Roland (2011). "The long-run impact of bombing Vietnam." Journal of Development Economics 96(1): 1-15.</w:t>
      </w:r>
    </w:p>
    <w:p w14:paraId="0309F4FD" w14:textId="3E719C3B" w:rsidR="005866C2" w:rsidRPr="004F594B" w:rsidRDefault="00507FB6" w:rsidP="005866C2">
      <w:pPr>
        <w:pStyle w:val="ListParagraph"/>
        <w:numPr>
          <w:ilvl w:val="0"/>
          <w:numId w:val="20"/>
        </w:numPr>
      </w:pPr>
      <w:r w:rsidRPr="004F594B">
        <w:t xml:space="preserve">Miguel, E., S. </w:t>
      </w:r>
      <w:proofErr w:type="spellStart"/>
      <w:r w:rsidRPr="004F594B">
        <w:t>Satyanath</w:t>
      </w:r>
      <w:proofErr w:type="spellEnd"/>
      <w:r w:rsidRPr="004F594B">
        <w:t xml:space="preserve"> and E. </w:t>
      </w:r>
      <w:proofErr w:type="spellStart"/>
      <w:r w:rsidRPr="004F594B">
        <w:t>Sergenti</w:t>
      </w:r>
      <w:proofErr w:type="spellEnd"/>
      <w:r w:rsidRPr="004F594B">
        <w:t xml:space="preserve"> (2004). "Economic shocks and civil conflict: An instrumental variables approach." Journal of Political Economy 112(4): 725-753.</w:t>
      </w:r>
    </w:p>
    <w:p w14:paraId="4BCDB319" w14:textId="77777777" w:rsidR="00FF10B8" w:rsidRDefault="00FF10B8" w:rsidP="00FF10B8">
      <w:pPr>
        <w:pStyle w:val="ListParagraph"/>
        <w:numPr>
          <w:ilvl w:val="0"/>
          <w:numId w:val="20"/>
        </w:numPr>
      </w:pPr>
      <w:proofErr w:type="spellStart"/>
      <w:r>
        <w:t>Blattman</w:t>
      </w:r>
      <w:proofErr w:type="spellEnd"/>
      <w:r>
        <w:t xml:space="preserve">, C. and E. Miguel (2010). "Civil war." Journal of Economic Literature 48(1): 3-57. </w:t>
      </w:r>
    </w:p>
    <w:p w14:paraId="28B9B74C" w14:textId="0B6B59BE" w:rsidR="0031472D" w:rsidRDefault="00FF10B8" w:rsidP="00FF10B8">
      <w:pPr>
        <w:pStyle w:val="ListParagraph"/>
        <w:numPr>
          <w:ilvl w:val="0"/>
          <w:numId w:val="20"/>
        </w:numPr>
      </w:pPr>
      <w:r>
        <w:t>Ray, D. and J. Esteban (2017). "Conflict and Development." Annual Review of Economics 9: 263-293.</w:t>
      </w:r>
    </w:p>
    <w:p w14:paraId="305E7AAF" w14:textId="77777777" w:rsidR="00FF10B8" w:rsidRDefault="00FF10B8" w:rsidP="00FF10B8">
      <w:pPr>
        <w:pStyle w:val="ListParagraph"/>
      </w:pPr>
    </w:p>
    <w:p w14:paraId="3AA57EA1" w14:textId="77777777" w:rsidR="00322888" w:rsidRPr="00CD3B40" w:rsidRDefault="00322888" w:rsidP="00322888">
      <w:pPr>
        <w:pStyle w:val="Heading2"/>
      </w:pPr>
      <w:r w:rsidRPr="00CD3B40">
        <w:t>Household model</w:t>
      </w:r>
    </w:p>
    <w:p w14:paraId="79F7B263" w14:textId="77777777" w:rsidR="00322888" w:rsidRPr="00602B80" w:rsidRDefault="00322888" w:rsidP="00322888">
      <w:pPr>
        <w:pStyle w:val="ListParagraph"/>
        <w:numPr>
          <w:ilvl w:val="0"/>
          <w:numId w:val="6"/>
        </w:numPr>
      </w:pPr>
      <w:r>
        <w:t xml:space="preserve">* </w:t>
      </w:r>
      <w:r w:rsidRPr="00602B80">
        <w:t xml:space="preserve">Bardhan and </w:t>
      </w:r>
      <w:proofErr w:type="spellStart"/>
      <w:r w:rsidRPr="00602B80">
        <w:t>Udry</w:t>
      </w:r>
      <w:proofErr w:type="spellEnd"/>
      <w:r>
        <w:t>,</w:t>
      </w:r>
      <w:r w:rsidRPr="00602B80">
        <w:t xml:space="preserve"> </w:t>
      </w:r>
      <w:r w:rsidRPr="00602B80">
        <w:rPr>
          <w:i/>
        </w:rPr>
        <w:t>Development Microeconomics</w:t>
      </w:r>
      <w:r>
        <w:t xml:space="preserve">, </w:t>
      </w:r>
      <w:r w:rsidRPr="00602B80">
        <w:t>Chapter 2</w:t>
      </w:r>
    </w:p>
    <w:p w14:paraId="2E83803E" w14:textId="784EEF58" w:rsidR="00322888" w:rsidRDefault="00322888" w:rsidP="00322888">
      <w:pPr>
        <w:pStyle w:val="ListParagraph"/>
        <w:numPr>
          <w:ilvl w:val="0"/>
          <w:numId w:val="6"/>
        </w:numPr>
      </w:pPr>
      <w:r w:rsidRPr="00602B80">
        <w:t>Singh, I, L Squire, and J Strauss, eds. (1986). Agricultural Household Models: Extensions, Applications, and Policy. Baltimore: Johns Hopkins University Press.</w:t>
      </w:r>
    </w:p>
    <w:p w14:paraId="07410606" w14:textId="60861EF3" w:rsidR="00F70B27" w:rsidRDefault="00F70B27" w:rsidP="00322888">
      <w:pPr>
        <w:pStyle w:val="ListParagraph"/>
        <w:numPr>
          <w:ilvl w:val="0"/>
          <w:numId w:val="6"/>
        </w:numPr>
      </w:pPr>
      <w:r w:rsidRPr="00F70B27">
        <w:t xml:space="preserve">de </w:t>
      </w:r>
      <w:proofErr w:type="spellStart"/>
      <w:r w:rsidRPr="00F70B27">
        <w:t>Janvry</w:t>
      </w:r>
      <w:proofErr w:type="spellEnd"/>
      <w:r w:rsidRPr="00F70B27">
        <w:t xml:space="preserve">, A., </w:t>
      </w:r>
      <w:proofErr w:type="spellStart"/>
      <w:r w:rsidRPr="00F70B27">
        <w:t>Fafchamps</w:t>
      </w:r>
      <w:proofErr w:type="spellEnd"/>
      <w:r w:rsidRPr="00F70B27">
        <w:t xml:space="preserve">, M., &amp; </w:t>
      </w:r>
      <w:proofErr w:type="spellStart"/>
      <w:r w:rsidRPr="00F70B27">
        <w:t>Sadoulet</w:t>
      </w:r>
      <w:proofErr w:type="spellEnd"/>
      <w:r w:rsidRPr="00F70B27">
        <w:t xml:space="preserve">, E. (1991). Peasant Household </w:t>
      </w:r>
      <w:proofErr w:type="spellStart"/>
      <w:r w:rsidRPr="00F70B27">
        <w:t>Behaviour</w:t>
      </w:r>
      <w:proofErr w:type="spellEnd"/>
      <w:r w:rsidRPr="00F70B27">
        <w:t xml:space="preserve"> with Missing Markets: Some Paradoxes Explained. Economic Journal, 101(409), 1400-417.</w:t>
      </w:r>
    </w:p>
    <w:p w14:paraId="145E43AB" w14:textId="62BE88E9" w:rsidR="003C4F0D" w:rsidRPr="00602B80" w:rsidRDefault="003C4F0D" w:rsidP="00322888">
      <w:pPr>
        <w:pStyle w:val="ListParagraph"/>
        <w:numPr>
          <w:ilvl w:val="0"/>
          <w:numId w:val="6"/>
        </w:numPr>
      </w:pPr>
      <w:r w:rsidRPr="003C4F0D">
        <w:t xml:space="preserve">Benjamin, D. (1992). Household composition, labor markets, and labor demand: testing for separation in agricultural household models. </w:t>
      </w:r>
      <w:proofErr w:type="spellStart"/>
      <w:r w:rsidRPr="003C4F0D">
        <w:t>Econometrica</w:t>
      </w:r>
      <w:proofErr w:type="spellEnd"/>
      <w:r w:rsidRPr="003C4F0D">
        <w:t>: Journal of the Econometric Society, 287-322.</w:t>
      </w:r>
    </w:p>
    <w:p w14:paraId="5300F849" w14:textId="0E4030DF" w:rsidR="00CF2E1E" w:rsidRDefault="00CF2E1E" w:rsidP="007A1AA8"/>
    <w:p w14:paraId="719A852F" w14:textId="77777777" w:rsidR="008F4994" w:rsidRPr="007A1AA8" w:rsidRDefault="008F4994" w:rsidP="008F4994">
      <w:pPr>
        <w:keepNext/>
        <w:keepLines/>
        <w:numPr>
          <w:ilvl w:val="1"/>
          <w:numId w:val="19"/>
        </w:numPr>
        <w:tabs>
          <w:tab w:val="num" w:pos="360"/>
        </w:tabs>
        <w:spacing w:before="40"/>
        <w:ind w:left="0" w:firstLine="0"/>
        <w:outlineLvl w:val="1"/>
        <w:rPr>
          <w:rFonts w:eastAsiaTheme="majorEastAsia" w:cstheme="majorBidi"/>
          <w:b/>
          <w:color w:val="000000" w:themeColor="text1"/>
        </w:rPr>
      </w:pPr>
      <w:r>
        <w:rPr>
          <w:rFonts w:eastAsiaTheme="majorEastAsia" w:cstheme="majorBidi"/>
          <w:b/>
          <w:color w:val="000000" w:themeColor="text1"/>
        </w:rPr>
        <w:t>Informal i</w:t>
      </w:r>
      <w:r w:rsidRPr="007A1AA8">
        <w:rPr>
          <w:rFonts w:eastAsiaTheme="majorEastAsia" w:cstheme="majorBidi"/>
          <w:b/>
          <w:color w:val="000000" w:themeColor="text1"/>
        </w:rPr>
        <w:t>nsurance</w:t>
      </w:r>
    </w:p>
    <w:p w14:paraId="1E5D782C" w14:textId="1A912E16" w:rsidR="008F4994" w:rsidRPr="007A1AA8" w:rsidRDefault="008F4994" w:rsidP="00B96397">
      <w:pPr>
        <w:numPr>
          <w:ilvl w:val="0"/>
          <w:numId w:val="8"/>
        </w:numPr>
        <w:contextualSpacing/>
      </w:pPr>
      <w:r w:rsidRPr="007A1AA8">
        <w:t xml:space="preserve">* Townsend, R. (1994), “Risk and Insurance in Village India,” </w:t>
      </w:r>
      <w:proofErr w:type="spellStart"/>
      <w:r w:rsidRPr="007A1AA8">
        <w:t>Econometrica</w:t>
      </w:r>
      <w:proofErr w:type="spellEnd"/>
      <w:r w:rsidRPr="007A1AA8">
        <w:t xml:space="preserve"> 62(3), 539-591.</w:t>
      </w:r>
    </w:p>
    <w:p w14:paraId="02D80209" w14:textId="77777777" w:rsidR="008F4994" w:rsidRPr="007A1AA8" w:rsidRDefault="008F4994" w:rsidP="008F4994">
      <w:pPr>
        <w:numPr>
          <w:ilvl w:val="0"/>
          <w:numId w:val="8"/>
        </w:numPr>
        <w:contextualSpacing/>
      </w:pPr>
      <w:r w:rsidRPr="007A1AA8">
        <w:lastRenderedPageBreak/>
        <w:t xml:space="preserve">Bardhan &amp; </w:t>
      </w:r>
      <w:proofErr w:type="spellStart"/>
      <w:r w:rsidRPr="007A1AA8">
        <w:t>Udry</w:t>
      </w:r>
      <w:proofErr w:type="spellEnd"/>
      <w:r w:rsidRPr="007A1AA8">
        <w:t>, Development Microeconomics, Chapter 8.</w:t>
      </w:r>
    </w:p>
    <w:p w14:paraId="50AC0076" w14:textId="77777777" w:rsidR="008F4994" w:rsidRDefault="008F4994" w:rsidP="007A1AA8"/>
    <w:p w14:paraId="175421B0" w14:textId="33D2C2C6" w:rsidR="002667D1" w:rsidRPr="007A1AA8" w:rsidRDefault="008F4994" w:rsidP="002667D1">
      <w:pPr>
        <w:keepNext/>
        <w:keepLines/>
        <w:numPr>
          <w:ilvl w:val="1"/>
          <w:numId w:val="19"/>
        </w:numPr>
        <w:tabs>
          <w:tab w:val="num" w:pos="360"/>
        </w:tabs>
        <w:spacing w:before="40"/>
        <w:ind w:left="0" w:firstLine="0"/>
        <w:outlineLvl w:val="1"/>
        <w:rPr>
          <w:rFonts w:eastAsiaTheme="majorEastAsia" w:cstheme="majorBidi"/>
          <w:b/>
          <w:color w:val="000000" w:themeColor="text1"/>
        </w:rPr>
      </w:pPr>
      <w:r>
        <w:rPr>
          <w:rFonts w:eastAsiaTheme="majorEastAsia" w:cstheme="majorBidi"/>
          <w:b/>
          <w:color w:val="000000" w:themeColor="text1"/>
        </w:rPr>
        <w:t xml:space="preserve"> </w:t>
      </w:r>
      <w:r w:rsidR="002667D1" w:rsidRPr="007A1AA8">
        <w:rPr>
          <w:rFonts w:eastAsiaTheme="majorEastAsia" w:cstheme="majorBidi"/>
          <w:b/>
          <w:color w:val="000000" w:themeColor="text1"/>
        </w:rPr>
        <w:t>Credit</w:t>
      </w:r>
    </w:p>
    <w:p w14:paraId="119D0986" w14:textId="77777777" w:rsidR="002667D1" w:rsidRPr="007A1AA8" w:rsidRDefault="002667D1" w:rsidP="002667D1">
      <w:pPr>
        <w:numPr>
          <w:ilvl w:val="0"/>
          <w:numId w:val="9"/>
        </w:numPr>
        <w:contextualSpacing/>
      </w:pPr>
      <w:r w:rsidRPr="007A1AA8">
        <w:t xml:space="preserve">* Bardhan &amp; </w:t>
      </w:r>
      <w:proofErr w:type="spellStart"/>
      <w:r w:rsidRPr="007A1AA8">
        <w:t>Udry</w:t>
      </w:r>
      <w:proofErr w:type="spellEnd"/>
      <w:r w:rsidRPr="007A1AA8">
        <w:t>, Development Microeconomics, Chapter 7.</w:t>
      </w:r>
    </w:p>
    <w:p w14:paraId="50831014" w14:textId="77777777" w:rsidR="002667D1" w:rsidRPr="007A1AA8" w:rsidRDefault="002667D1" w:rsidP="002667D1">
      <w:pPr>
        <w:numPr>
          <w:ilvl w:val="0"/>
          <w:numId w:val="9"/>
        </w:numPr>
        <w:contextualSpacing/>
      </w:pPr>
      <w:r w:rsidRPr="007A1AA8">
        <w:t>Stiglitz, J. &amp; A. Weiss (1981), “Credit Rationing in Markets with Incomplete Information,” American Economic Review 71(3), 393-410.</w:t>
      </w:r>
    </w:p>
    <w:p w14:paraId="4F0CA429" w14:textId="77777777" w:rsidR="002667D1" w:rsidRDefault="002667D1" w:rsidP="002667D1">
      <w:pPr>
        <w:numPr>
          <w:ilvl w:val="0"/>
          <w:numId w:val="9"/>
        </w:numPr>
        <w:contextualSpacing/>
      </w:pPr>
      <w:r w:rsidRPr="007A1AA8">
        <w:t xml:space="preserve">* </w:t>
      </w:r>
      <w:proofErr w:type="spellStart"/>
      <w:r w:rsidRPr="007A1AA8">
        <w:t>Karlan</w:t>
      </w:r>
      <w:proofErr w:type="spellEnd"/>
      <w:r w:rsidRPr="007A1AA8">
        <w:t xml:space="preserve">, D. &amp; J. </w:t>
      </w:r>
      <w:proofErr w:type="spellStart"/>
      <w:r w:rsidRPr="007A1AA8">
        <w:t>Zinman</w:t>
      </w:r>
      <w:proofErr w:type="spellEnd"/>
      <w:r w:rsidRPr="007A1AA8">
        <w:t xml:space="preserve"> (2009), “Observing </w:t>
      </w:r>
      <w:proofErr w:type="spellStart"/>
      <w:r w:rsidRPr="007A1AA8">
        <w:t>Unobservables</w:t>
      </w:r>
      <w:proofErr w:type="spellEnd"/>
      <w:r w:rsidRPr="007A1AA8">
        <w:t xml:space="preserve">: Identifying Information Asymmetries with a Consumer Credit Field Experiment,” </w:t>
      </w:r>
      <w:proofErr w:type="spellStart"/>
      <w:r w:rsidRPr="007A1AA8">
        <w:t>Econometrica</w:t>
      </w:r>
      <w:proofErr w:type="spellEnd"/>
      <w:r w:rsidRPr="007A1AA8">
        <w:t xml:space="preserve"> 77(6), 1993-2008.</w:t>
      </w:r>
    </w:p>
    <w:p w14:paraId="6A70A5B5" w14:textId="77777777" w:rsidR="002667D1" w:rsidRDefault="002667D1" w:rsidP="002667D1">
      <w:pPr>
        <w:numPr>
          <w:ilvl w:val="0"/>
          <w:numId w:val="9"/>
        </w:numPr>
        <w:contextualSpacing/>
      </w:pPr>
      <w:r w:rsidRPr="007A1AA8">
        <w:t>Burgess, R., &amp; Pande, R. (2005). Do rural banks matter? Evidence from the Indian social banking experiment. American Economic Review, 95(3), 780-795.</w:t>
      </w:r>
    </w:p>
    <w:p w14:paraId="44355B56" w14:textId="16B9A160" w:rsidR="00CF2E1E" w:rsidRDefault="002667D1" w:rsidP="002667D1">
      <w:pPr>
        <w:numPr>
          <w:ilvl w:val="0"/>
          <w:numId w:val="9"/>
        </w:numPr>
        <w:contextualSpacing/>
      </w:pPr>
      <w:proofErr w:type="spellStart"/>
      <w:r w:rsidRPr="004B7349">
        <w:t>Karlan</w:t>
      </w:r>
      <w:proofErr w:type="spellEnd"/>
      <w:r w:rsidRPr="004B7349">
        <w:t>, D., &amp; Morduch, J. (2010). Access to finance. In Handbook of development economics (Vol. 5, pp. 4703-4784). Elsevier.</w:t>
      </w:r>
    </w:p>
    <w:p w14:paraId="1B3AC26F" w14:textId="77777777" w:rsidR="00CF2E1E" w:rsidRPr="007A1AA8" w:rsidRDefault="00CF2E1E" w:rsidP="007A1AA8"/>
    <w:p w14:paraId="72AAF757" w14:textId="165CEEF9" w:rsidR="00A73A78" w:rsidRDefault="007A1AA8" w:rsidP="00A73A78">
      <w:pPr>
        <w:keepNext/>
        <w:keepLines/>
        <w:numPr>
          <w:ilvl w:val="1"/>
          <w:numId w:val="19"/>
        </w:numPr>
        <w:tabs>
          <w:tab w:val="num" w:pos="360"/>
        </w:tabs>
        <w:spacing w:before="40"/>
        <w:ind w:left="0" w:firstLine="0"/>
        <w:outlineLvl w:val="1"/>
        <w:rPr>
          <w:rFonts w:eastAsiaTheme="majorEastAsia" w:cstheme="majorBidi"/>
          <w:b/>
          <w:color w:val="000000" w:themeColor="text1"/>
        </w:rPr>
      </w:pPr>
      <w:r w:rsidRPr="007A1AA8">
        <w:rPr>
          <w:rFonts w:eastAsiaTheme="majorEastAsia" w:cstheme="majorBidi"/>
          <w:b/>
          <w:color w:val="000000" w:themeColor="text1"/>
        </w:rPr>
        <w:t>Microfinance</w:t>
      </w:r>
    </w:p>
    <w:p w14:paraId="19F55066" w14:textId="61116006" w:rsidR="00B96397" w:rsidRDefault="00A73A78" w:rsidP="00B96397">
      <w:pPr>
        <w:rPr>
          <w:i/>
        </w:rPr>
      </w:pPr>
      <w:r w:rsidRPr="00B96397">
        <w:rPr>
          <w:i/>
        </w:rPr>
        <w:t>Micro</w:t>
      </w:r>
      <w:r w:rsidR="00D17865">
        <w:rPr>
          <w:i/>
        </w:rPr>
        <w:t>finance</w:t>
      </w:r>
    </w:p>
    <w:p w14:paraId="54C684D2" w14:textId="5C6BF362" w:rsidR="004B09BD" w:rsidRPr="00B96397" w:rsidRDefault="004B09BD" w:rsidP="00B96397">
      <w:pPr>
        <w:pStyle w:val="ListParagraph"/>
        <w:numPr>
          <w:ilvl w:val="0"/>
          <w:numId w:val="27"/>
        </w:numPr>
        <w:rPr>
          <w:i/>
        </w:rPr>
      </w:pPr>
      <w:r w:rsidRPr="00B96397">
        <w:t xml:space="preserve">Banerjee, A., </w:t>
      </w:r>
      <w:proofErr w:type="spellStart"/>
      <w:r w:rsidRPr="00B96397">
        <w:t>Duflo</w:t>
      </w:r>
      <w:proofErr w:type="spellEnd"/>
      <w:r w:rsidRPr="00B96397">
        <w:t xml:space="preserve">, E., </w:t>
      </w:r>
      <w:proofErr w:type="spellStart"/>
      <w:r w:rsidRPr="00B96397">
        <w:t>Glennerster</w:t>
      </w:r>
      <w:proofErr w:type="spellEnd"/>
      <w:r w:rsidRPr="00B96397">
        <w:t xml:space="preserve">, R., &amp; </w:t>
      </w:r>
      <w:proofErr w:type="spellStart"/>
      <w:r w:rsidRPr="00B96397">
        <w:t>Kinnan</w:t>
      </w:r>
      <w:proofErr w:type="spellEnd"/>
      <w:r w:rsidRPr="00B96397">
        <w:t>, C. (2015). The miracle of microfinance? Evidence</w:t>
      </w:r>
      <w:r w:rsidRPr="00E67E9E">
        <w:t xml:space="preserve"> from a randomized evaluation. American Economic Journal: Applied Economics, 7(1), 22-53.</w:t>
      </w:r>
    </w:p>
    <w:p w14:paraId="61B32B2A" w14:textId="77777777" w:rsidR="004B09BD" w:rsidRDefault="004B09BD" w:rsidP="004B09BD">
      <w:pPr>
        <w:numPr>
          <w:ilvl w:val="0"/>
          <w:numId w:val="10"/>
        </w:numPr>
        <w:contextualSpacing/>
      </w:pPr>
      <w:r w:rsidRPr="007A1AA8">
        <w:t>Pitt, M. &amp; S.R. Khandker (1998), “The Impact of Group-Based Credit Programs on Poor Households in Bangladesh: Does the Gender of Participants Matter,” Journal of Political Economy 106(5), 958-996.</w:t>
      </w:r>
    </w:p>
    <w:p w14:paraId="6919DDEE" w14:textId="77777777" w:rsidR="004B09BD" w:rsidRPr="007A1AA8" w:rsidRDefault="004B09BD" w:rsidP="004B09BD">
      <w:pPr>
        <w:numPr>
          <w:ilvl w:val="0"/>
          <w:numId w:val="10"/>
        </w:numPr>
        <w:contextualSpacing/>
      </w:pPr>
      <w:r w:rsidRPr="007A1AA8">
        <w:t xml:space="preserve">Banerjee, A., </w:t>
      </w:r>
      <w:proofErr w:type="spellStart"/>
      <w:r w:rsidRPr="007A1AA8">
        <w:t>Karlan</w:t>
      </w:r>
      <w:proofErr w:type="spellEnd"/>
      <w:r w:rsidRPr="007A1AA8">
        <w:t xml:space="preserve">, D., &amp; </w:t>
      </w:r>
      <w:proofErr w:type="spellStart"/>
      <w:r w:rsidRPr="007A1AA8">
        <w:t>Zinman</w:t>
      </w:r>
      <w:proofErr w:type="spellEnd"/>
      <w:r w:rsidRPr="007A1AA8">
        <w:t xml:space="preserve">, J. (2015). Six randomized evaluations of microcredit: Introduction and further steps. American Economic Journal: Applied Economics, 7(1), 1-21. </w:t>
      </w:r>
    </w:p>
    <w:p w14:paraId="349364F0" w14:textId="4A91CF9D" w:rsidR="004B09BD" w:rsidRPr="00B96397" w:rsidRDefault="00E97636" w:rsidP="00B96397">
      <w:pPr>
        <w:numPr>
          <w:ilvl w:val="0"/>
          <w:numId w:val="10"/>
        </w:numPr>
        <w:contextualSpacing/>
      </w:pPr>
      <w:proofErr w:type="spellStart"/>
      <w:r w:rsidRPr="00BF5ED6">
        <w:t>Gine</w:t>
      </w:r>
      <w:proofErr w:type="spellEnd"/>
      <w:r w:rsidRPr="00BF5ED6">
        <w:t xml:space="preserve">, X. &amp; D. </w:t>
      </w:r>
      <w:proofErr w:type="spellStart"/>
      <w:r w:rsidRPr="00BF5ED6">
        <w:t>Karlan</w:t>
      </w:r>
      <w:proofErr w:type="spellEnd"/>
      <w:r w:rsidRPr="00BF5ED6">
        <w:t xml:space="preserve"> (2014), “Group versus Individual Liability: Short and Long Term Evidence from Philippine Microcredit Lending Groups,” Journal of Development Economics 107 65–83</w:t>
      </w:r>
    </w:p>
    <w:p w14:paraId="6FEFE89E" w14:textId="58C19451" w:rsidR="004B09BD" w:rsidRDefault="00E97636" w:rsidP="00E1209B">
      <w:pPr>
        <w:numPr>
          <w:ilvl w:val="0"/>
          <w:numId w:val="10"/>
        </w:numPr>
        <w:contextualSpacing/>
      </w:pPr>
      <w:r w:rsidRPr="007A1AA8">
        <w:t>Field, E., &amp; Pande, R. (2008). Repayment frequency and default in microfinance: evidence from India. Journal of the European Economic Association, 6(2-3), 501-509.</w:t>
      </w:r>
    </w:p>
    <w:p w14:paraId="3D00214E" w14:textId="699FD2C5" w:rsidR="00E97636" w:rsidRDefault="00E97636" w:rsidP="007A1AA8">
      <w:pPr>
        <w:numPr>
          <w:ilvl w:val="0"/>
          <w:numId w:val="8"/>
        </w:numPr>
        <w:contextualSpacing/>
      </w:pPr>
      <w:r w:rsidRPr="007A1AA8">
        <w:t xml:space="preserve">Field, E., Pande, R., Papp, J., &amp; </w:t>
      </w:r>
      <w:proofErr w:type="spellStart"/>
      <w:r w:rsidRPr="007A1AA8">
        <w:t>Rigol</w:t>
      </w:r>
      <w:proofErr w:type="spellEnd"/>
      <w:r w:rsidRPr="007A1AA8">
        <w:t>, N. (2013). Does the classic microfinance model discourage entrepreneurship among the poor? Experimental evidence from India. American Economic Review, 103(6), 2196-2226.</w:t>
      </w:r>
    </w:p>
    <w:p w14:paraId="3365CC2C" w14:textId="52AC56BD" w:rsidR="00E97636" w:rsidRDefault="00E97636" w:rsidP="007A1AA8">
      <w:pPr>
        <w:numPr>
          <w:ilvl w:val="0"/>
          <w:numId w:val="8"/>
        </w:numPr>
        <w:contextualSpacing/>
      </w:pPr>
      <w:proofErr w:type="spellStart"/>
      <w:r w:rsidRPr="00E97636">
        <w:t>Giné</w:t>
      </w:r>
      <w:proofErr w:type="spellEnd"/>
      <w:r w:rsidRPr="00E97636">
        <w:t>, X., Goldberg, J., &amp; Yang, D. (2012). Credit market consequences of improved personal identification: Field experimental evidence from Malawi. American Economic Review, 102(6), 2923-54.</w:t>
      </w:r>
    </w:p>
    <w:p w14:paraId="669C4DA6" w14:textId="02617105" w:rsidR="007A1AA8" w:rsidRPr="007A1AA8" w:rsidRDefault="007A1AA8" w:rsidP="007A1AA8"/>
    <w:p w14:paraId="155BB552" w14:textId="77777777" w:rsidR="007A1AA8" w:rsidRPr="007A1AA8" w:rsidRDefault="007A1AA8" w:rsidP="007A1AA8">
      <w:pPr>
        <w:keepNext/>
        <w:keepLines/>
        <w:numPr>
          <w:ilvl w:val="1"/>
          <w:numId w:val="19"/>
        </w:numPr>
        <w:tabs>
          <w:tab w:val="num" w:pos="360"/>
        </w:tabs>
        <w:spacing w:before="40"/>
        <w:ind w:left="0" w:firstLine="0"/>
        <w:outlineLvl w:val="1"/>
        <w:rPr>
          <w:rFonts w:eastAsiaTheme="majorEastAsia" w:cstheme="majorBidi"/>
          <w:b/>
          <w:color w:val="000000" w:themeColor="text1"/>
        </w:rPr>
      </w:pPr>
      <w:r w:rsidRPr="007A1AA8">
        <w:rPr>
          <w:rFonts w:eastAsiaTheme="majorEastAsia" w:cstheme="majorBidi"/>
          <w:b/>
          <w:color w:val="000000" w:themeColor="text1"/>
        </w:rPr>
        <w:t>Savings</w:t>
      </w:r>
    </w:p>
    <w:p w14:paraId="7A47D75D" w14:textId="77777777" w:rsidR="007A1AA8" w:rsidRPr="007A1AA8" w:rsidRDefault="007A1AA8" w:rsidP="007A1AA8">
      <w:pPr>
        <w:numPr>
          <w:ilvl w:val="0"/>
          <w:numId w:val="7"/>
        </w:numPr>
        <w:contextualSpacing/>
      </w:pPr>
      <w:r w:rsidRPr="007A1AA8">
        <w:t>* Paxson, C. (1992), “Using Weather Variability to Estimate the Response of Savings to Transitory Income in Thailand,” American Economic Review 82(1), 15-33.</w:t>
      </w:r>
    </w:p>
    <w:p w14:paraId="38B1E6D4" w14:textId="77777777" w:rsidR="00D722D5" w:rsidRPr="007A1AA8" w:rsidRDefault="00D722D5" w:rsidP="00D722D5">
      <w:pPr>
        <w:numPr>
          <w:ilvl w:val="0"/>
          <w:numId w:val="7"/>
        </w:numPr>
        <w:contextualSpacing/>
      </w:pPr>
      <w:proofErr w:type="spellStart"/>
      <w:r w:rsidRPr="007A1AA8">
        <w:t>Dupas</w:t>
      </w:r>
      <w:proofErr w:type="spellEnd"/>
      <w:r w:rsidRPr="007A1AA8">
        <w:t>, P., J. Robinson (2013). “Savings Constraints and Microenterprise Development: Evidence from a Field Experiment in Kenya” American Economic Journal: Applied Economics, 5(1): 163-192.</w:t>
      </w:r>
    </w:p>
    <w:p w14:paraId="0D735122" w14:textId="77777777" w:rsidR="007A1AA8" w:rsidRPr="007A1AA8" w:rsidRDefault="007A1AA8" w:rsidP="007A1AA8"/>
    <w:p w14:paraId="0E9E7351" w14:textId="13CEDF83" w:rsidR="007A1AA8" w:rsidRPr="007A1AA8" w:rsidRDefault="007A1AA8" w:rsidP="007A1AA8">
      <w:pPr>
        <w:keepNext/>
        <w:keepLines/>
        <w:numPr>
          <w:ilvl w:val="1"/>
          <w:numId w:val="19"/>
        </w:numPr>
        <w:tabs>
          <w:tab w:val="num" w:pos="360"/>
        </w:tabs>
        <w:spacing w:before="40"/>
        <w:ind w:left="0" w:firstLine="0"/>
        <w:outlineLvl w:val="1"/>
        <w:rPr>
          <w:rFonts w:eastAsiaTheme="majorEastAsia" w:cstheme="majorBidi"/>
          <w:b/>
          <w:color w:val="000000" w:themeColor="text1"/>
        </w:rPr>
      </w:pPr>
      <w:r>
        <w:rPr>
          <w:rFonts w:eastAsiaTheme="majorEastAsia" w:cstheme="majorBidi"/>
          <w:b/>
          <w:color w:val="000000" w:themeColor="text1"/>
        </w:rPr>
        <w:lastRenderedPageBreak/>
        <w:t xml:space="preserve"> </w:t>
      </w:r>
      <w:r w:rsidRPr="007A1AA8">
        <w:rPr>
          <w:rFonts w:eastAsiaTheme="majorEastAsia" w:cstheme="majorBidi"/>
          <w:b/>
          <w:color w:val="000000" w:themeColor="text1"/>
        </w:rPr>
        <w:t>Transfers</w:t>
      </w:r>
    </w:p>
    <w:p w14:paraId="6FBA91C3" w14:textId="77777777" w:rsidR="007A1AA8" w:rsidRPr="00B96397" w:rsidRDefault="007A1AA8" w:rsidP="007A1AA8">
      <w:pPr>
        <w:numPr>
          <w:ilvl w:val="0"/>
          <w:numId w:val="11"/>
        </w:numPr>
        <w:contextualSpacing/>
      </w:pPr>
      <w:r w:rsidRPr="00B96397">
        <w:t xml:space="preserve">* Baird, S., McIntosh, C. &amp; </w:t>
      </w:r>
      <w:proofErr w:type="spellStart"/>
      <w:r w:rsidRPr="00B96397">
        <w:t>Özler</w:t>
      </w:r>
      <w:proofErr w:type="spellEnd"/>
      <w:r w:rsidRPr="00B96397">
        <w:t>, B. (2011), “Cash or Condition? Evidence from a Cash Transfer Experiment,” Quarterly Journal of Economics 126(4), 1709-1753.</w:t>
      </w:r>
    </w:p>
    <w:p w14:paraId="35EBFD56" w14:textId="641EBC02" w:rsidR="00D43375" w:rsidRPr="007A1AA8" w:rsidRDefault="00D43375" w:rsidP="007A1AA8">
      <w:pPr>
        <w:numPr>
          <w:ilvl w:val="0"/>
          <w:numId w:val="11"/>
        </w:numPr>
        <w:contextualSpacing/>
      </w:pPr>
      <w:r w:rsidRPr="00D43375">
        <w:t xml:space="preserve">Hanna, R., &amp; </w:t>
      </w:r>
      <w:proofErr w:type="spellStart"/>
      <w:r w:rsidRPr="00D43375">
        <w:t>Karlan</w:t>
      </w:r>
      <w:proofErr w:type="spellEnd"/>
      <w:r w:rsidRPr="00D43375">
        <w:t>, D. (2017). Designing Social Protection Programs: Using Theory and Experimentation to Understand how to Help Combat Poverty. In Handbook of Economic Field Experiments (Vol. 2, pp. 515-553). North-Holland.</w:t>
      </w:r>
    </w:p>
    <w:p w14:paraId="153689C8" w14:textId="11E01D23" w:rsidR="00231B67" w:rsidRPr="00231B67" w:rsidRDefault="00231B67" w:rsidP="00231B67"/>
    <w:p w14:paraId="7AFC7203" w14:textId="7E4AAD1D" w:rsidR="006060E0" w:rsidRPr="006060E0" w:rsidRDefault="006060E0" w:rsidP="00104E3A">
      <w:pPr>
        <w:pStyle w:val="Heading2"/>
      </w:pPr>
      <w:r w:rsidRPr="006060E0">
        <w:t>Education</w:t>
      </w:r>
    </w:p>
    <w:p w14:paraId="560C42B6" w14:textId="53D98871" w:rsidR="00686574" w:rsidRDefault="00981ED1" w:rsidP="00FE5A29">
      <w:pPr>
        <w:pStyle w:val="ListParagraph"/>
        <w:numPr>
          <w:ilvl w:val="0"/>
          <w:numId w:val="12"/>
        </w:numPr>
      </w:pPr>
      <w:r>
        <w:t xml:space="preserve">* </w:t>
      </w:r>
      <w:proofErr w:type="spellStart"/>
      <w:r w:rsidRPr="00531C00">
        <w:t>Duflo</w:t>
      </w:r>
      <w:proofErr w:type="spellEnd"/>
      <w:r w:rsidRPr="00531C00">
        <w:t>, Esther “Schooling and Labor Market Consequences of School Construction in Indonesia: Evidence from an Unusual Policy Experiment” American Economic Review 91(4): 795-813 (2001)</w:t>
      </w:r>
    </w:p>
    <w:p w14:paraId="71CF19CB" w14:textId="77777777" w:rsidR="00981ED1" w:rsidRPr="00531C00" w:rsidRDefault="00981ED1" w:rsidP="00981ED1">
      <w:pPr>
        <w:pStyle w:val="ListParagraph"/>
        <w:numPr>
          <w:ilvl w:val="0"/>
          <w:numId w:val="12"/>
        </w:numPr>
      </w:pPr>
      <w:proofErr w:type="spellStart"/>
      <w:r>
        <w:t>Glewwe</w:t>
      </w:r>
      <w:proofErr w:type="spellEnd"/>
      <w:r>
        <w:t>, P. and M. Kremer (2006). "Schools, teachers, and education outcomes in developing countries." Handbook of the Economics of Education 2: 945-1017.</w:t>
      </w:r>
    </w:p>
    <w:p w14:paraId="54F40FEC" w14:textId="45FC2EED" w:rsidR="00981ED1" w:rsidRDefault="00981ED1" w:rsidP="00981ED1">
      <w:pPr>
        <w:pStyle w:val="ListParagraph"/>
        <w:numPr>
          <w:ilvl w:val="0"/>
          <w:numId w:val="12"/>
        </w:numPr>
      </w:pPr>
      <w:r w:rsidRPr="00531C00">
        <w:t xml:space="preserve">Kremer and Holla (2009) “Improving Education in the Developing World: What Have We Learned from Randomized Evaluations?” Annual Review of Economics </w:t>
      </w:r>
    </w:p>
    <w:p w14:paraId="3213AA80" w14:textId="4DF48677" w:rsidR="00981ED1" w:rsidRPr="00531C00" w:rsidRDefault="00981ED1" w:rsidP="00981ED1">
      <w:pPr>
        <w:pStyle w:val="ListParagraph"/>
        <w:numPr>
          <w:ilvl w:val="0"/>
          <w:numId w:val="12"/>
        </w:numPr>
      </w:pPr>
      <w:proofErr w:type="spellStart"/>
      <w:r>
        <w:t>Muralidharan</w:t>
      </w:r>
      <w:proofErr w:type="spellEnd"/>
      <w:r>
        <w:t xml:space="preserve">, K. (2017). "Field experiments in education in developing countries." In A. V. Banerjee and E. </w:t>
      </w:r>
      <w:proofErr w:type="spellStart"/>
      <w:r>
        <w:t>Duflo</w:t>
      </w:r>
      <w:proofErr w:type="spellEnd"/>
      <w:r>
        <w:t>, Eds. Handbook of Field Experiments: North Holland.</w:t>
      </w:r>
    </w:p>
    <w:p w14:paraId="5282D58E" w14:textId="77777777" w:rsidR="006E6BA3" w:rsidRDefault="006E6BA3" w:rsidP="006E6BA3"/>
    <w:p w14:paraId="00477F78" w14:textId="16EE4186" w:rsidR="006E6BA3" w:rsidRDefault="00850E82" w:rsidP="006E6BA3">
      <w:pPr>
        <w:pStyle w:val="Heading2"/>
      </w:pPr>
      <w:r>
        <w:t>Social Identity: Gender &amp; Caste</w:t>
      </w:r>
    </w:p>
    <w:p w14:paraId="51F1D657" w14:textId="77777777" w:rsidR="006E6BA3" w:rsidRDefault="006E6BA3" w:rsidP="006E6BA3">
      <w:pPr>
        <w:pStyle w:val="ListParagraph"/>
        <w:numPr>
          <w:ilvl w:val="0"/>
          <w:numId w:val="30"/>
        </w:numPr>
      </w:pPr>
      <w:r>
        <w:t xml:space="preserve"># Bursztyn, L., González, A. L., &amp; Yanagizawa-Drott, D. (2020). Misperceived social norms: Women working outside the home in </w:t>
      </w:r>
      <w:proofErr w:type="spellStart"/>
      <w:r>
        <w:t>saudi</w:t>
      </w:r>
      <w:proofErr w:type="spellEnd"/>
      <w:r>
        <w:t xml:space="preserve"> </w:t>
      </w:r>
      <w:proofErr w:type="spellStart"/>
      <w:r>
        <w:t>arabia</w:t>
      </w:r>
      <w:proofErr w:type="spellEnd"/>
      <w:r>
        <w:t>. American economic review, 110(10), 2997-3029.</w:t>
      </w:r>
    </w:p>
    <w:p w14:paraId="0C1EE56E" w14:textId="6516E421" w:rsidR="00850E82" w:rsidRDefault="00850E82" w:rsidP="00850E82">
      <w:pPr>
        <w:pStyle w:val="ListParagraph"/>
        <w:numPr>
          <w:ilvl w:val="0"/>
          <w:numId w:val="30"/>
        </w:numPr>
      </w:pPr>
      <w:r>
        <w:t xml:space="preserve"># </w:t>
      </w:r>
      <w:r w:rsidRPr="00850E82">
        <w:t xml:space="preserve">Oh, </w:t>
      </w:r>
      <w:proofErr w:type="spellStart"/>
      <w:r w:rsidRPr="00850E82">
        <w:t>Suanna</w:t>
      </w:r>
      <w:proofErr w:type="spellEnd"/>
      <w:r w:rsidRPr="00850E82">
        <w:t>. "Does identity affect labor supply?." American Economic Review 113, no. 8 (2023): 2055-2083.</w:t>
      </w:r>
    </w:p>
    <w:p w14:paraId="42BDB444" w14:textId="77777777" w:rsidR="006E6BA3" w:rsidRDefault="006E6BA3" w:rsidP="006E6BA3">
      <w:pPr>
        <w:pStyle w:val="ListParagraph"/>
        <w:numPr>
          <w:ilvl w:val="0"/>
          <w:numId w:val="30"/>
        </w:numPr>
      </w:pPr>
      <w:r>
        <w:t>Jayachandran, Seema. (2015) "The roots of gender inequality in developing countries." Annual review of economics 7, no. 1: 63-88.</w:t>
      </w:r>
    </w:p>
    <w:p w14:paraId="02B97BBC" w14:textId="77777777" w:rsidR="006E6BA3" w:rsidRDefault="006E6BA3" w:rsidP="006E6BA3">
      <w:pPr>
        <w:pStyle w:val="ListParagraph"/>
        <w:numPr>
          <w:ilvl w:val="0"/>
          <w:numId w:val="30"/>
        </w:numPr>
      </w:pPr>
      <w:r>
        <w:t>Jayachandran, S. (2021). Social norms as a barrier to women’s employment in developing countries. IMF Economic Review, 69(3), 576-595.</w:t>
      </w:r>
    </w:p>
    <w:p w14:paraId="7BF651EE" w14:textId="77777777" w:rsidR="006E6BA3" w:rsidRDefault="006E6BA3" w:rsidP="006E6BA3"/>
    <w:p w14:paraId="33B21FC2" w14:textId="77777777" w:rsidR="006E6BA3" w:rsidRDefault="006E6BA3" w:rsidP="006E6BA3">
      <w:pPr>
        <w:pStyle w:val="Heading2"/>
      </w:pPr>
      <w:r>
        <w:t>Firms</w:t>
      </w:r>
    </w:p>
    <w:p w14:paraId="53791889" w14:textId="77777777" w:rsidR="006E6BA3" w:rsidRDefault="006E6BA3" w:rsidP="006E6BA3">
      <w:pPr>
        <w:pStyle w:val="ListParagraph"/>
        <w:numPr>
          <w:ilvl w:val="0"/>
          <w:numId w:val="32"/>
        </w:numPr>
      </w:pPr>
      <w:r>
        <w:t xml:space="preserve">* De Mel, S., McKenzie, D., &amp; Woodruff, C. (2008). “Returns to capital in microenterprises: evidence from a field experiment.” </w:t>
      </w:r>
      <w:r>
        <w:rPr>
          <w:i/>
        </w:rPr>
        <w:t>Quarterly Journal of Economics</w:t>
      </w:r>
      <w:r>
        <w:t>, 123(4), 1329-1372.</w:t>
      </w:r>
    </w:p>
    <w:p w14:paraId="46BAC1B6" w14:textId="77777777" w:rsidR="006E6BA3" w:rsidRDefault="006E6BA3" w:rsidP="006E6BA3">
      <w:pPr>
        <w:pStyle w:val="ListParagraph"/>
        <w:numPr>
          <w:ilvl w:val="0"/>
          <w:numId w:val="32"/>
        </w:numPr>
      </w:pPr>
      <w:r>
        <w:t xml:space="preserve">De Mel, S., McKenzie, D., &amp; Woodruff, C. (2012). “One-time transfers of cash or capital have long-lasting effects on microenterprises in Sri Lanka.” </w:t>
      </w:r>
      <w:r>
        <w:rPr>
          <w:i/>
          <w:iCs/>
        </w:rPr>
        <w:t>Science</w:t>
      </w:r>
      <w:r>
        <w:t xml:space="preserve">, </w:t>
      </w:r>
      <w:r>
        <w:rPr>
          <w:i/>
          <w:iCs/>
        </w:rPr>
        <w:t>335</w:t>
      </w:r>
      <w:r>
        <w:t>(6071), 962-966.</w:t>
      </w:r>
    </w:p>
    <w:p w14:paraId="05A6328C" w14:textId="77777777" w:rsidR="006E6BA3" w:rsidRDefault="006E6BA3" w:rsidP="006E6BA3">
      <w:pPr>
        <w:pStyle w:val="ListParagraph"/>
        <w:numPr>
          <w:ilvl w:val="0"/>
          <w:numId w:val="32"/>
        </w:numPr>
      </w:pPr>
      <w:proofErr w:type="spellStart"/>
      <w:r>
        <w:t>Fafchamps</w:t>
      </w:r>
      <w:proofErr w:type="spellEnd"/>
      <w:r>
        <w:t>, M., McKenzie, D., Quinn, S., &amp; Woodruff, C. (2014). “Microenterprise growth and the flypaper effect: Evidence from a randomized experiment in Ghana.” </w:t>
      </w:r>
      <w:r>
        <w:rPr>
          <w:i/>
          <w:iCs/>
        </w:rPr>
        <w:t>Journal of development Economics</w:t>
      </w:r>
      <w:r>
        <w:t>, </w:t>
      </w:r>
      <w:r>
        <w:rPr>
          <w:i/>
          <w:iCs/>
        </w:rPr>
        <w:t>106</w:t>
      </w:r>
      <w:r>
        <w:t>, 211-226.</w:t>
      </w:r>
    </w:p>
    <w:p w14:paraId="53EDC6A7" w14:textId="77777777" w:rsidR="006E6BA3" w:rsidRDefault="006E6BA3" w:rsidP="006E6BA3">
      <w:pPr>
        <w:pStyle w:val="ListParagraph"/>
        <w:numPr>
          <w:ilvl w:val="0"/>
          <w:numId w:val="32"/>
        </w:numPr>
      </w:pPr>
      <w:r>
        <w:t xml:space="preserve">Atkin, D., Khandelwal, A. K., &amp; Osman, A. (2017). Exporting and firm performance: Evidence from a randomized experiment. </w:t>
      </w:r>
      <w:r>
        <w:rPr>
          <w:i/>
        </w:rPr>
        <w:t>The Quarterly Journal of Economics</w:t>
      </w:r>
      <w:r>
        <w:t>, 132(2), 551-615.</w:t>
      </w:r>
    </w:p>
    <w:p w14:paraId="63EACB6F" w14:textId="77777777" w:rsidR="006E6BA3" w:rsidRDefault="006E6BA3" w:rsidP="006E6BA3">
      <w:pPr>
        <w:pStyle w:val="ListParagraph"/>
        <w:numPr>
          <w:ilvl w:val="0"/>
          <w:numId w:val="32"/>
        </w:numPr>
      </w:pPr>
      <w:r>
        <w:t xml:space="preserve">Bloom, N., Eifert, B., Mahajan, A., McKenzie, D., &amp; Roberts, J. (2013). Does management matter? Evidence from India. </w:t>
      </w:r>
      <w:r>
        <w:rPr>
          <w:i/>
        </w:rPr>
        <w:t>The Quarterly Journal of Economics</w:t>
      </w:r>
      <w:r>
        <w:t>, 128(1), 1-51.</w:t>
      </w:r>
    </w:p>
    <w:p w14:paraId="418B4833" w14:textId="77777777" w:rsidR="006E6BA3" w:rsidRDefault="006E6BA3" w:rsidP="006E6BA3">
      <w:pPr>
        <w:pStyle w:val="ListParagraph"/>
        <w:numPr>
          <w:ilvl w:val="0"/>
          <w:numId w:val="32"/>
        </w:numPr>
      </w:pPr>
      <w:r>
        <w:lastRenderedPageBreak/>
        <w:t xml:space="preserve">Bruhn, M., </w:t>
      </w:r>
      <w:proofErr w:type="spellStart"/>
      <w:r>
        <w:t>Karlan</w:t>
      </w:r>
      <w:proofErr w:type="spellEnd"/>
      <w:r>
        <w:t xml:space="preserve">, D., &amp; </w:t>
      </w:r>
      <w:proofErr w:type="spellStart"/>
      <w:r>
        <w:t>Schoar</w:t>
      </w:r>
      <w:proofErr w:type="spellEnd"/>
      <w:r>
        <w:t xml:space="preserve">, A. (2018). The impact of consulting services on small and medium enterprises: Evidence from a randomized trial in </w:t>
      </w:r>
      <w:proofErr w:type="spellStart"/>
      <w:r>
        <w:t>mexico</w:t>
      </w:r>
      <w:proofErr w:type="spellEnd"/>
      <w:r>
        <w:t>. Journal of Political Economy, 126(2), 635-687.</w:t>
      </w:r>
    </w:p>
    <w:p w14:paraId="098A3BC2" w14:textId="77777777" w:rsidR="00237868" w:rsidRDefault="00237868" w:rsidP="00237868"/>
    <w:p w14:paraId="172324FF" w14:textId="77777777" w:rsidR="00237868" w:rsidRPr="006060E0" w:rsidRDefault="00237868" w:rsidP="00237868">
      <w:pPr>
        <w:pStyle w:val="Heading2"/>
      </w:pPr>
      <w:r w:rsidRPr="006060E0">
        <w:t>Health</w:t>
      </w:r>
    </w:p>
    <w:p w14:paraId="3A4F01DC" w14:textId="77777777" w:rsidR="00237868" w:rsidRPr="0092136E" w:rsidRDefault="00237868" w:rsidP="00237868">
      <w:pPr>
        <w:pStyle w:val="ListParagraph"/>
        <w:numPr>
          <w:ilvl w:val="0"/>
          <w:numId w:val="13"/>
        </w:numPr>
      </w:pPr>
      <w:r w:rsidRPr="0092136E">
        <w:t xml:space="preserve">* Miguel, T. &amp; Kremer, M. (2004), “Worms: Identifying Impacts on Education and Health in the Presence of Treatment Externalities,” </w:t>
      </w:r>
      <w:proofErr w:type="spellStart"/>
      <w:r w:rsidRPr="0092136E">
        <w:t>Econometrica</w:t>
      </w:r>
      <w:proofErr w:type="spellEnd"/>
      <w:r w:rsidRPr="0092136E">
        <w:t xml:space="preserve"> 72(1), 159-217.</w:t>
      </w:r>
    </w:p>
    <w:p w14:paraId="040729BF" w14:textId="77777777" w:rsidR="00237868" w:rsidRPr="00C22B7C" w:rsidRDefault="00237868" w:rsidP="00237868">
      <w:pPr>
        <w:pStyle w:val="ListParagraph"/>
        <w:numPr>
          <w:ilvl w:val="0"/>
          <w:numId w:val="13"/>
        </w:numPr>
      </w:pPr>
      <w:r w:rsidRPr="00C22B7C">
        <w:t xml:space="preserve">Baird, Sarah, Joan </w:t>
      </w:r>
      <w:proofErr w:type="spellStart"/>
      <w:r w:rsidRPr="00C22B7C">
        <w:t>Hamory</w:t>
      </w:r>
      <w:proofErr w:type="spellEnd"/>
      <w:r w:rsidRPr="00C22B7C">
        <w:t xml:space="preserve"> Hicks, Michael Kremer, and Edward Miguel. (2016). “Worms at Work: Long-run Impacts of Child Health Gains”, Quarterly Journal of Economics, 131(4), 1637-1680.</w:t>
      </w:r>
    </w:p>
    <w:p w14:paraId="230D844F" w14:textId="77777777" w:rsidR="00237868" w:rsidRDefault="00237868" w:rsidP="00237868">
      <w:pPr>
        <w:pStyle w:val="ListParagraph"/>
        <w:numPr>
          <w:ilvl w:val="0"/>
          <w:numId w:val="13"/>
        </w:numPr>
      </w:pPr>
      <w:proofErr w:type="spellStart"/>
      <w:r w:rsidRPr="006D23AC">
        <w:t>Dupas</w:t>
      </w:r>
      <w:proofErr w:type="spellEnd"/>
      <w:r w:rsidRPr="006D23AC">
        <w:t>, P., &amp; Miguel, E. (2017). Impacts and determinants of health levels in low-income countries. In Handbook of economic field experiments (Vol. 2, pp. 3-93). North-Holland.</w:t>
      </w:r>
    </w:p>
    <w:p w14:paraId="58997FD2" w14:textId="77777777" w:rsidR="00237868" w:rsidRDefault="00237868" w:rsidP="00237868">
      <w:pPr>
        <w:pStyle w:val="ListParagraph"/>
        <w:numPr>
          <w:ilvl w:val="0"/>
          <w:numId w:val="13"/>
        </w:numPr>
      </w:pPr>
      <w:proofErr w:type="spellStart"/>
      <w:r w:rsidRPr="00C22B7C">
        <w:t>Dupas</w:t>
      </w:r>
      <w:proofErr w:type="spellEnd"/>
      <w:r w:rsidRPr="00C22B7C">
        <w:t>, Pascaline “Health behavior in developing countries” Annual Review of Economics 3: 425-449 (2011)</w:t>
      </w:r>
    </w:p>
    <w:p w14:paraId="13C9932D" w14:textId="77777777" w:rsidR="00237868" w:rsidRDefault="00237868" w:rsidP="00237868">
      <w:pPr>
        <w:pStyle w:val="ListParagraph"/>
        <w:numPr>
          <w:ilvl w:val="0"/>
          <w:numId w:val="13"/>
        </w:numPr>
      </w:pPr>
      <w:r>
        <w:t xml:space="preserve">Kremer, M. and R. </w:t>
      </w:r>
      <w:proofErr w:type="spellStart"/>
      <w:r>
        <w:t>Glennerster</w:t>
      </w:r>
      <w:proofErr w:type="spellEnd"/>
      <w:r>
        <w:t xml:space="preserve"> (2011). "Improving health in developing countries: evidence from randomized evaluations." In M. V. Pauly, T. G. </w:t>
      </w:r>
      <w:proofErr w:type="spellStart"/>
      <w:r>
        <w:t>Mcguire</w:t>
      </w:r>
      <w:proofErr w:type="spellEnd"/>
      <w:r>
        <w:t xml:space="preserve"> and P. P., Eds. Handbook of Health Economics: Elsevier.</w:t>
      </w:r>
    </w:p>
    <w:p w14:paraId="7655EDFE" w14:textId="77777777" w:rsidR="00B65C59" w:rsidRDefault="00B65C59" w:rsidP="00B65C59"/>
    <w:p w14:paraId="59982700" w14:textId="77777777" w:rsidR="00B65C59" w:rsidRDefault="00B65C59" w:rsidP="00B65C59">
      <w:pPr>
        <w:pStyle w:val="Heading2"/>
      </w:pPr>
      <w:r>
        <w:t>Migration</w:t>
      </w:r>
    </w:p>
    <w:p w14:paraId="3D1D2369" w14:textId="77777777" w:rsidR="00B65C59" w:rsidRDefault="00B65C59" w:rsidP="00B65C59">
      <w:pPr>
        <w:pStyle w:val="ListParagraph"/>
        <w:numPr>
          <w:ilvl w:val="0"/>
          <w:numId w:val="31"/>
        </w:numPr>
      </w:pPr>
      <w:r>
        <w:t xml:space="preserve">* Munshi, </w:t>
      </w:r>
      <w:proofErr w:type="spellStart"/>
      <w:r>
        <w:t>Kaivan</w:t>
      </w:r>
      <w:proofErr w:type="spellEnd"/>
      <w:r>
        <w:t xml:space="preserve"> “Networks in the Modern Economy: Mexican Migrants in the U.S. Labor Market.” Quarterly Journal of Economics 118(2): 549-599 (2003)</w:t>
      </w:r>
    </w:p>
    <w:p w14:paraId="21E44904" w14:textId="77777777" w:rsidR="00B65C59" w:rsidRDefault="00B65C59" w:rsidP="00B65C59">
      <w:pPr>
        <w:pStyle w:val="ListParagraph"/>
        <w:numPr>
          <w:ilvl w:val="0"/>
          <w:numId w:val="31"/>
        </w:numPr>
      </w:pPr>
      <w:r>
        <w:t>* Yang, Dean “International Migration, Remittances, and Household Investment: Evidence from Philippine Migrants’ Exchange Rate Shocks” Economic Journal 118(528): 591-630 (2008)</w:t>
      </w:r>
    </w:p>
    <w:p w14:paraId="065B1E88" w14:textId="77777777" w:rsidR="00B65C59" w:rsidRDefault="00B65C59" w:rsidP="00B65C59">
      <w:pPr>
        <w:pStyle w:val="ListParagraph"/>
        <w:numPr>
          <w:ilvl w:val="0"/>
          <w:numId w:val="31"/>
        </w:numPr>
      </w:pPr>
      <w:r>
        <w:t>Clemens, M. A. (2013). Why do programmers earn more in Houston than Hyderabad? Evidence from randomized processing of US visas. American Economic Review, 103(3), 198-202.</w:t>
      </w:r>
    </w:p>
    <w:p w14:paraId="70AF01C6" w14:textId="77777777" w:rsidR="00B65C59" w:rsidRDefault="00B65C59" w:rsidP="00B65C59">
      <w:pPr>
        <w:pStyle w:val="ListParagraph"/>
        <w:numPr>
          <w:ilvl w:val="0"/>
          <w:numId w:val="31"/>
        </w:numPr>
      </w:pPr>
      <w:r>
        <w:t>Gibson, J. and D. McKenzie (2014). "The development impact of a best practice seasonal worker policy." Review of Economics and Statistics 96(2): 229-243.</w:t>
      </w:r>
    </w:p>
    <w:p w14:paraId="12F2593B" w14:textId="45252AAF" w:rsidR="00B65C59" w:rsidRDefault="00B65C59" w:rsidP="006E6BA3">
      <w:pPr>
        <w:pStyle w:val="ListParagraph"/>
        <w:numPr>
          <w:ilvl w:val="0"/>
          <w:numId w:val="31"/>
        </w:numPr>
      </w:pPr>
      <w:r>
        <w:t>Clemens, M. A. (2011). Economics and emigration: Trillion-dollar bills on the sidewalk?. Journal of Economic perspectives, 25(3), 83-106.</w:t>
      </w:r>
    </w:p>
    <w:p w14:paraId="32DF10CB" w14:textId="32940806" w:rsidR="00AA4F27" w:rsidRDefault="00AA4F27" w:rsidP="00AA4F27"/>
    <w:p w14:paraId="712A5F6F" w14:textId="77777777" w:rsidR="00AA4F27" w:rsidRPr="001066E8" w:rsidRDefault="00AA4F27" w:rsidP="00AA4F27">
      <w:pPr>
        <w:rPr>
          <w:b/>
          <w:u w:val="single"/>
        </w:rPr>
      </w:pPr>
      <w:r w:rsidRPr="001066E8">
        <w:rPr>
          <w:b/>
          <w:u w:val="single"/>
        </w:rPr>
        <w:t>Disability Resource Center</w:t>
      </w:r>
    </w:p>
    <w:p w14:paraId="019C22D5" w14:textId="77777777" w:rsidR="00AA4F27" w:rsidRDefault="00AA4F27" w:rsidP="00AA4F27">
      <w:r>
        <w:t>If you have a documented disability, please bring your documentation and come to talk to me as soon as possible so that I can make suitable accommodations for you. If you believe that you have a disability and desire accommodation, please register with the Disability Resource Center, GC 190 as soon as possible.</w:t>
      </w:r>
      <w:r w:rsidRPr="00AF24F5">
        <w:t xml:space="preserve"> The FIU Disability Resources Center strives to promote student success by working collaboratively with students, faculty and staff to create an inclusive educational environment. The university is committed to advancing students learning and enhancing personal development. Any information provided will be kept confidential. Documentation of your disability will need to be sent to the Disability Resource Center (GC 190).</w:t>
      </w:r>
    </w:p>
    <w:p w14:paraId="5DF10272" w14:textId="77777777" w:rsidR="00AA4F27" w:rsidRDefault="00AA4F27" w:rsidP="00AA4F27"/>
    <w:p w14:paraId="01F7AAAF" w14:textId="77777777" w:rsidR="00AA4F27" w:rsidRPr="001066E8" w:rsidRDefault="00AA4F27" w:rsidP="00AA4F27">
      <w:pPr>
        <w:rPr>
          <w:b/>
          <w:u w:val="single"/>
        </w:rPr>
      </w:pPr>
      <w:r w:rsidRPr="001066E8">
        <w:rPr>
          <w:b/>
          <w:u w:val="single"/>
        </w:rPr>
        <w:t>Religious Observance</w:t>
      </w:r>
    </w:p>
    <w:p w14:paraId="155B9D4B" w14:textId="77777777" w:rsidR="00AA4F27" w:rsidRDefault="00AA4F27" w:rsidP="00AA4F27">
      <w:r w:rsidRPr="001066E8">
        <w:lastRenderedPageBreak/>
        <w:t>Accommodations will be made for students who wish to observe their religious holidays. Students should make their requests known a</w:t>
      </w:r>
      <w:r>
        <w:t>t the beginning of the semester.</w:t>
      </w:r>
    </w:p>
    <w:p w14:paraId="76AE160B" w14:textId="77777777" w:rsidR="00AA4F27" w:rsidRDefault="00AA4F27" w:rsidP="00AA4F27"/>
    <w:p w14:paraId="0F90A600" w14:textId="77777777" w:rsidR="00AA4F27" w:rsidRPr="000F7D95" w:rsidRDefault="00AA4F27" w:rsidP="00AA4F27">
      <w:pPr>
        <w:rPr>
          <w:b/>
          <w:u w:val="single"/>
        </w:rPr>
      </w:pPr>
      <w:r w:rsidRPr="001066E8">
        <w:rPr>
          <w:b/>
          <w:u w:val="single"/>
        </w:rPr>
        <w:t>Academic Dishonesty</w:t>
      </w:r>
    </w:p>
    <w:p w14:paraId="3B3D072C" w14:textId="77777777" w:rsidR="00AA4F27" w:rsidRDefault="00AA4F27" w:rsidP="00AA4F27">
      <w:r w:rsidRPr="00950F97">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to honestly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Handbook.</w:t>
      </w:r>
      <w:r>
        <w:t xml:space="preserve"> </w:t>
      </w:r>
      <w:r w:rsidRPr="00950F97">
        <w:t>Academic Misconduct includes (but is not limited to) giving or receiving assistance on a test, quiz, or homework assignment for which such assistance is not permitted, falsifying a document to obtain an excusal from a test, having another person use a phony ID to take a test for you, and using unauthorized notes on a test or quiz.</w:t>
      </w:r>
    </w:p>
    <w:p w14:paraId="2F48ED2A" w14:textId="77777777" w:rsidR="00AA4F27" w:rsidRDefault="00AA4F27" w:rsidP="00AA4F27"/>
    <w:p w14:paraId="1BBF375B" w14:textId="77777777" w:rsidR="00AA4F27" w:rsidRDefault="00AA4F27" w:rsidP="00AA4F27">
      <w:r>
        <w:t>I encourage you to read FIU’s academic integrity policy:</w:t>
      </w:r>
    </w:p>
    <w:p w14:paraId="11BB6265" w14:textId="1A8E13B7" w:rsidR="00AA4F27" w:rsidRDefault="00000000" w:rsidP="00AA4F27">
      <w:pPr>
        <w:rPr>
          <w:rStyle w:val="Hyperlink"/>
        </w:rPr>
      </w:pPr>
      <w:hyperlink r:id="rId8" w:history="1">
        <w:r w:rsidR="00AA4F27" w:rsidRPr="000F7D95">
          <w:rPr>
            <w:rStyle w:val="Hyperlink"/>
          </w:rPr>
          <w:t>http://integrity.fiu.edu/misconducts.html</w:t>
        </w:r>
      </w:hyperlink>
    </w:p>
    <w:p w14:paraId="7404A492" w14:textId="77777777" w:rsidR="00AA4F27" w:rsidRPr="00801EB8" w:rsidRDefault="00AA4F27" w:rsidP="00AA4F27"/>
    <w:sectPr w:rsidR="00AA4F27" w:rsidRPr="00801EB8" w:rsidSect="00A8257C">
      <w:footerReference w:type="default" r:id="rId9"/>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482D" w14:textId="77777777" w:rsidR="006126B6" w:rsidRDefault="006126B6" w:rsidP="00A8257C">
      <w:r>
        <w:separator/>
      </w:r>
    </w:p>
  </w:endnote>
  <w:endnote w:type="continuationSeparator" w:id="0">
    <w:p w14:paraId="02139471" w14:textId="77777777" w:rsidR="006126B6" w:rsidRDefault="006126B6" w:rsidP="00A8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056921"/>
      <w:docPartObj>
        <w:docPartGallery w:val="Page Numbers (Bottom of Page)"/>
        <w:docPartUnique/>
      </w:docPartObj>
    </w:sdtPr>
    <w:sdtEndPr>
      <w:rPr>
        <w:noProof/>
      </w:rPr>
    </w:sdtEndPr>
    <w:sdtContent>
      <w:p w14:paraId="54EF3958" w14:textId="2918AC3F" w:rsidR="00100F37" w:rsidRDefault="00100F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BD9E50" w14:textId="77777777" w:rsidR="00100F37" w:rsidRDefault="00100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2EF0" w14:textId="77777777" w:rsidR="006126B6" w:rsidRDefault="006126B6" w:rsidP="00A8257C">
      <w:r>
        <w:separator/>
      </w:r>
    </w:p>
  </w:footnote>
  <w:footnote w:type="continuationSeparator" w:id="0">
    <w:p w14:paraId="44251E18" w14:textId="77777777" w:rsidR="006126B6" w:rsidRDefault="006126B6" w:rsidP="00A82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AB8"/>
    <w:multiLevelType w:val="hybridMultilevel"/>
    <w:tmpl w:val="DA06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6423"/>
    <w:multiLevelType w:val="hybridMultilevel"/>
    <w:tmpl w:val="E234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97F49"/>
    <w:multiLevelType w:val="hybridMultilevel"/>
    <w:tmpl w:val="D628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332F9"/>
    <w:multiLevelType w:val="hybridMultilevel"/>
    <w:tmpl w:val="780E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F5BE7"/>
    <w:multiLevelType w:val="hybridMultilevel"/>
    <w:tmpl w:val="C252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05300"/>
    <w:multiLevelType w:val="hybridMultilevel"/>
    <w:tmpl w:val="EF902700"/>
    <w:lvl w:ilvl="0" w:tplc="7F40548C">
      <w:start w:val="1"/>
      <w:numFmt w:val="lowerLetter"/>
      <w:lvlText w:val="%1)"/>
      <w:lvlJc w:val="left"/>
      <w:pPr>
        <w:ind w:left="720" w:hanging="360"/>
      </w:pPr>
      <w:rPr>
        <w:rFonts w:hint="default"/>
        <w:b w:val="0"/>
        <w:bCs w:val="0"/>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A79F7"/>
    <w:multiLevelType w:val="hybridMultilevel"/>
    <w:tmpl w:val="A63E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367D2"/>
    <w:multiLevelType w:val="hybridMultilevel"/>
    <w:tmpl w:val="4FB8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8028B"/>
    <w:multiLevelType w:val="hybridMultilevel"/>
    <w:tmpl w:val="957A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306F6"/>
    <w:multiLevelType w:val="hybridMultilevel"/>
    <w:tmpl w:val="89D4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A3572"/>
    <w:multiLevelType w:val="hybridMultilevel"/>
    <w:tmpl w:val="3D8A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9336F"/>
    <w:multiLevelType w:val="hybridMultilevel"/>
    <w:tmpl w:val="E69C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A227C"/>
    <w:multiLevelType w:val="hybridMultilevel"/>
    <w:tmpl w:val="3F5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B0F56"/>
    <w:multiLevelType w:val="hybridMultilevel"/>
    <w:tmpl w:val="F48C6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B4C35"/>
    <w:multiLevelType w:val="hybridMultilevel"/>
    <w:tmpl w:val="8B26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A4C9C"/>
    <w:multiLevelType w:val="hybridMultilevel"/>
    <w:tmpl w:val="866E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B7EF9"/>
    <w:multiLevelType w:val="hybridMultilevel"/>
    <w:tmpl w:val="DA88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52A58"/>
    <w:multiLevelType w:val="multilevel"/>
    <w:tmpl w:val="6D48E926"/>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AE5673F"/>
    <w:multiLevelType w:val="hybridMultilevel"/>
    <w:tmpl w:val="2EE6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94965"/>
    <w:multiLevelType w:val="hybridMultilevel"/>
    <w:tmpl w:val="B6EA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34746"/>
    <w:multiLevelType w:val="hybridMultilevel"/>
    <w:tmpl w:val="159A1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74065E"/>
    <w:multiLevelType w:val="hybridMultilevel"/>
    <w:tmpl w:val="075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5250F"/>
    <w:multiLevelType w:val="hybridMultilevel"/>
    <w:tmpl w:val="4C7213A2"/>
    <w:lvl w:ilvl="0" w:tplc="04090001">
      <w:start w:val="1"/>
      <w:numFmt w:val="bullet"/>
      <w:lvlText w:val=""/>
      <w:lvlJc w:val="left"/>
      <w:pPr>
        <w:ind w:left="720" w:hanging="360"/>
      </w:pPr>
      <w:rPr>
        <w:rFonts w:ascii="Symbol" w:hAnsi="Symbol" w:hint="default"/>
      </w:rPr>
    </w:lvl>
    <w:lvl w:ilvl="1" w:tplc="667E8D9E">
      <w:start w:val="18"/>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024E1"/>
    <w:multiLevelType w:val="hybridMultilevel"/>
    <w:tmpl w:val="F110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76AB1"/>
    <w:multiLevelType w:val="hybridMultilevel"/>
    <w:tmpl w:val="07A2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9491C"/>
    <w:multiLevelType w:val="hybridMultilevel"/>
    <w:tmpl w:val="135A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A66A1"/>
    <w:multiLevelType w:val="hybridMultilevel"/>
    <w:tmpl w:val="FAF4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C624F"/>
    <w:multiLevelType w:val="hybridMultilevel"/>
    <w:tmpl w:val="577E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22522">
    <w:abstractNumId w:val="3"/>
  </w:num>
  <w:num w:numId="2" w16cid:durableId="802961961">
    <w:abstractNumId w:val="4"/>
  </w:num>
  <w:num w:numId="3" w16cid:durableId="439497923">
    <w:abstractNumId w:val="9"/>
  </w:num>
  <w:num w:numId="4" w16cid:durableId="1321957211">
    <w:abstractNumId w:val="16"/>
  </w:num>
  <w:num w:numId="5" w16cid:durableId="611937370">
    <w:abstractNumId w:val="11"/>
  </w:num>
  <w:num w:numId="6" w16cid:durableId="1396709451">
    <w:abstractNumId w:val="14"/>
  </w:num>
  <w:num w:numId="7" w16cid:durableId="1876694717">
    <w:abstractNumId w:val="1"/>
  </w:num>
  <w:num w:numId="8" w16cid:durableId="47385301">
    <w:abstractNumId w:val="22"/>
  </w:num>
  <w:num w:numId="9" w16cid:durableId="343628995">
    <w:abstractNumId w:val="6"/>
  </w:num>
  <w:num w:numId="10" w16cid:durableId="1242836204">
    <w:abstractNumId w:val="10"/>
  </w:num>
  <w:num w:numId="11" w16cid:durableId="255015210">
    <w:abstractNumId w:val="12"/>
  </w:num>
  <w:num w:numId="12" w16cid:durableId="1634284572">
    <w:abstractNumId w:val="0"/>
  </w:num>
  <w:num w:numId="13" w16cid:durableId="343898991">
    <w:abstractNumId w:val="18"/>
  </w:num>
  <w:num w:numId="14" w16cid:durableId="107050746">
    <w:abstractNumId w:val="27"/>
  </w:num>
  <w:num w:numId="15" w16cid:durableId="604927026">
    <w:abstractNumId w:val="24"/>
  </w:num>
  <w:num w:numId="16" w16cid:durableId="879828013">
    <w:abstractNumId w:val="7"/>
  </w:num>
  <w:num w:numId="17" w16cid:durableId="367485134">
    <w:abstractNumId w:val="15"/>
  </w:num>
  <w:num w:numId="18" w16cid:durableId="1310205406">
    <w:abstractNumId w:val="13"/>
  </w:num>
  <w:num w:numId="19" w16cid:durableId="1042099231">
    <w:abstractNumId w:val="17"/>
  </w:num>
  <w:num w:numId="20" w16cid:durableId="605695522">
    <w:abstractNumId w:val="8"/>
  </w:num>
  <w:num w:numId="21" w16cid:durableId="1438023490">
    <w:abstractNumId w:val="2"/>
  </w:num>
  <w:num w:numId="22" w16cid:durableId="1653948409">
    <w:abstractNumId w:val="19"/>
  </w:num>
  <w:num w:numId="23" w16cid:durableId="1498762857">
    <w:abstractNumId w:val="26"/>
  </w:num>
  <w:num w:numId="24" w16cid:durableId="809901560">
    <w:abstractNumId w:val="21"/>
  </w:num>
  <w:num w:numId="25" w16cid:durableId="1074013965">
    <w:abstractNumId w:val="23"/>
  </w:num>
  <w:num w:numId="26" w16cid:durableId="493759956">
    <w:abstractNumId w:val="20"/>
  </w:num>
  <w:num w:numId="27" w16cid:durableId="1085222244">
    <w:abstractNumId w:val="25"/>
  </w:num>
  <w:num w:numId="28" w16cid:durableId="1865512159">
    <w:abstractNumId w:val="5"/>
  </w:num>
  <w:num w:numId="29" w16cid:durableId="20462544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0656941">
    <w:abstractNumId w:val="2"/>
  </w:num>
  <w:num w:numId="31" w16cid:durableId="411389687">
    <w:abstractNumId w:val="27"/>
  </w:num>
  <w:num w:numId="32" w16cid:durableId="1831679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5C"/>
    <w:rsid w:val="00004065"/>
    <w:rsid w:val="00005C72"/>
    <w:rsid w:val="000061EC"/>
    <w:rsid w:val="00007B60"/>
    <w:rsid w:val="00010157"/>
    <w:rsid w:val="00011727"/>
    <w:rsid w:val="000122E5"/>
    <w:rsid w:val="00013635"/>
    <w:rsid w:val="000177E8"/>
    <w:rsid w:val="000179C2"/>
    <w:rsid w:val="0002341E"/>
    <w:rsid w:val="00030D17"/>
    <w:rsid w:val="00031B43"/>
    <w:rsid w:val="00032149"/>
    <w:rsid w:val="000426E8"/>
    <w:rsid w:val="00044292"/>
    <w:rsid w:val="000457FF"/>
    <w:rsid w:val="00051F08"/>
    <w:rsid w:val="00063578"/>
    <w:rsid w:val="000776BC"/>
    <w:rsid w:val="000821D1"/>
    <w:rsid w:val="00084B35"/>
    <w:rsid w:val="00086BC6"/>
    <w:rsid w:val="000870AE"/>
    <w:rsid w:val="000928FB"/>
    <w:rsid w:val="000A06AA"/>
    <w:rsid w:val="000A37EB"/>
    <w:rsid w:val="000A3AC5"/>
    <w:rsid w:val="000A65D7"/>
    <w:rsid w:val="000C6D25"/>
    <w:rsid w:val="000D119C"/>
    <w:rsid w:val="000E055F"/>
    <w:rsid w:val="000E355D"/>
    <w:rsid w:val="000E566E"/>
    <w:rsid w:val="000E6397"/>
    <w:rsid w:val="000F16CE"/>
    <w:rsid w:val="000F23E2"/>
    <w:rsid w:val="000F615C"/>
    <w:rsid w:val="000F680F"/>
    <w:rsid w:val="00100F37"/>
    <w:rsid w:val="001047AB"/>
    <w:rsid w:val="00104E3A"/>
    <w:rsid w:val="00107970"/>
    <w:rsid w:val="00120D31"/>
    <w:rsid w:val="001222A7"/>
    <w:rsid w:val="00132187"/>
    <w:rsid w:val="001334AD"/>
    <w:rsid w:val="00144030"/>
    <w:rsid w:val="0014435C"/>
    <w:rsid w:val="00146061"/>
    <w:rsid w:val="00151C29"/>
    <w:rsid w:val="00163387"/>
    <w:rsid w:val="00163932"/>
    <w:rsid w:val="00171C4C"/>
    <w:rsid w:val="001728CA"/>
    <w:rsid w:val="00186FEA"/>
    <w:rsid w:val="001921AC"/>
    <w:rsid w:val="001926B2"/>
    <w:rsid w:val="001A6E51"/>
    <w:rsid w:val="001C25DD"/>
    <w:rsid w:val="001C4B57"/>
    <w:rsid w:val="001C6A97"/>
    <w:rsid w:val="001D0949"/>
    <w:rsid w:val="001E3949"/>
    <w:rsid w:val="001E603D"/>
    <w:rsid w:val="001F3864"/>
    <w:rsid w:val="0021288A"/>
    <w:rsid w:val="0022276F"/>
    <w:rsid w:val="00231B67"/>
    <w:rsid w:val="0023398B"/>
    <w:rsid w:val="0023752D"/>
    <w:rsid w:val="00237868"/>
    <w:rsid w:val="00257121"/>
    <w:rsid w:val="002579B2"/>
    <w:rsid w:val="00266682"/>
    <w:rsid w:val="002667D1"/>
    <w:rsid w:val="002678C8"/>
    <w:rsid w:val="00274C7B"/>
    <w:rsid w:val="002933B0"/>
    <w:rsid w:val="00293DA3"/>
    <w:rsid w:val="00295C4C"/>
    <w:rsid w:val="002A4299"/>
    <w:rsid w:val="002A5373"/>
    <w:rsid w:val="002A729D"/>
    <w:rsid w:val="002B174F"/>
    <w:rsid w:val="002B3D39"/>
    <w:rsid w:val="002C024E"/>
    <w:rsid w:val="002C2825"/>
    <w:rsid w:val="002C5374"/>
    <w:rsid w:val="002D0A65"/>
    <w:rsid w:val="002D40AC"/>
    <w:rsid w:val="002D525B"/>
    <w:rsid w:val="002E1ECB"/>
    <w:rsid w:val="002E449F"/>
    <w:rsid w:val="002F4843"/>
    <w:rsid w:val="002F4D2A"/>
    <w:rsid w:val="00301ABC"/>
    <w:rsid w:val="0031271E"/>
    <w:rsid w:val="00312769"/>
    <w:rsid w:val="0031472D"/>
    <w:rsid w:val="00322888"/>
    <w:rsid w:val="00325861"/>
    <w:rsid w:val="00333902"/>
    <w:rsid w:val="00334018"/>
    <w:rsid w:val="00337F65"/>
    <w:rsid w:val="00346768"/>
    <w:rsid w:val="00357AB6"/>
    <w:rsid w:val="00357BA5"/>
    <w:rsid w:val="00362FD8"/>
    <w:rsid w:val="0036534F"/>
    <w:rsid w:val="00366BAD"/>
    <w:rsid w:val="00373220"/>
    <w:rsid w:val="003739B7"/>
    <w:rsid w:val="00374583"/>
    <w:rsid w:val="00375864"/>
    <w:rsid w:val="00380998"/>
    <w:rsid w:val="00383998"/>
    <w:rsid w:val="0039004A"/>
    <w:rsid w:val="00392F4A"/>
    <w:rsid w:val="0039358C"/>
    <w:rsid w:val="00394A05"/>
    <w:rsid w:val="00395585"/>
    <w:rsid w:val="003A1ABA"/>
    <w:rsid w:val="003B2A31"/>
    <w:rsid w:val="003B5CE2"/>
    <w:rsid w:val="003C04BB"/>
    <w:rsid w:val="003C4F0D"/>
    <w:rsid w:val="003C729C"/>
    <w:rsid w:val="003D0E0F"/>
    <w:rsid w:val="003D4C79"/>
    <w:rsid w:val="003E0B95"/>
    <w:rsid w:val="003E1DC2"/>
    <w:rsid w:val="003F6398"/>
    <w:rsid w:val="00402142"/>
    <w:rsid w:val="00404D00"/>
    <w:rsid w:val="004064C3"/>
    <w:rsid w:val="00410AFE"/>
    <w:rsid w:val="00411EB0"/>
    <w:rsid w:val="00427847"/>
    <w:rsid w:val="00431A2D"/>
    <w:rsid w:val="00431D7D"/>
    <w:rsid w:val="0043383E"/>
    <w:rsid w:val="00441851"/>
    <w:rsid w:val="00442C21"/>
    <w:rsid w:val="00443900"/>
    <w:rsid w:val="0045143F"/>
    <w:rsid w:val="00455240"/>
    <w:rsid w:val="00457F5A"/>
    <w:rsid w:val="0046070A"/>
    <w:rsid w:val="00462BB6"/>
    <w:rsid w:val="0046633A"/>
    <w:rsid w:val="00467039"/>
    <w:rsid w:val="00474D99"/>
    <w:rsid w:val="004839B7"/>
    <w:rsid w:val="004A24B6"/>
    <w:rsid w:val="004B09BD"/>
    <w:rsid w:val="004B5D47"/>
    <w:rsid w:val="004B7349"/>
    <w:rsid w:val="004B7B77"/>
    <w:rsid w:val="004C090A"/>
    <w:rsid w:val="004C25BC"/>
    <w:rsid w:val="004D4AE7"/>
    <w:rsid w:val="004E3AE1"/>
    <w:rsid w:val="004E401A"/>
    <w:rsid w:val="004E633D"/>
    <w:rsid w:val="004F3236"/>
    <w:rsid w:val="004F594B"/>
    <w:rsid w:val="00507FB6"/>
    <w:rsid w:val="00511284"/>
    <w:rsid w:val="0051661E"/>
    <w:rsid w:val="00517234"/>
    <w:rsid w:val="005251AF"/>
    <w:rsid w:val="00527064"/>
    <w:rsid w:val="00527E15"/>
    <w:rsid w:val="00531C00"/>
    <w:rsid w:val="00532951"/>
    <w:rsid w:val="00534AA9"/>
    <w:rsid w:val="00537053"/>
    <w:rsid w:val="005415AF"/>
    <w:rsid w:val="005424A4"/>
    <w:rsid w:val="00555436"/>
    <w:rsid w:val="00557247"/>
    <w:rsid w:val="00562C69"/>
    <w:rsid w:val="00570794"/>
    <w:rsid w:val="00571F02"/>
    <w:rsid w:val="005825DE"/>
    <w:rsid w:val="005866C2"/>
    <w:rsid w:val="005A1658"/>
    <w:rsid w:val="005A2620"/>
    <w:rsid w:val="005A29A2"/>
    <w:rsid w:val="005A3F5A"/>
    <w:rsid w:val="005B0BB6"/>
    <w:rsid w:val="005B3011"/>
    <w:rsid w:val="005B6670"/>
    <w:rsid w:val="005C0F8D"/>
    <w:rsid w:val="005C17D5"/>
    <w:rsid w:val="005C25A7"/>
    <w:rsid w:val="005C509A"/>
    <w:rsid w:val="005C73DA"/>
    <w:rsid w:val="005D0856"/>
    <w:rsid w:val="005D0D2D"/>
    <w:rsid w:val="005D0FC8"/>
    <w:rsid w:val="005D36CB"/>
    <w:rsid w:val="005F6552"/>
    <w:rsid w:val="005F6D57"/>
    <w:rsid w:val="00601482"/>
    <w:rsid w:val="00602B80"/>
    <w:rsid w:val="006060E0"/>
    <w:rsid w:val="00607963"/>
    <w:rsid w:val="006126B6"/>
    <w:rsid w:val="0062125D"/>
    <w:rsid w:val="00622D14"/>
    <w:rsid w:val="00624AB0"/>
    <w:rsid w:val="00626024"/>
    <w:rsid w:val="006263FB"/>
    <w:rsid w:val="0063130E"/>
    <w:rsid w:val="006342EE"/>
    <w:rsid w:val="00634757"/>
    <w:rsid w:val="00634C97"/>
    <w:rsid w:val="00641BE8"/>
    <w:rsid w:val="00660824"/>
    <w:rsid w:val="00683967"/>
    <w:rsid w:val="00684EE9"/>
    <w:rsid w:val="00685ACE"/>
    <w:rsid w:val="00686574"/>
    <w:rsid w:val="00691521"/>
    <w:rsid w:val="00692538"/>
    <w:rsid w:val="00693162"/>
    <w:rsid w:val="006B15A9"/>
    <w:rsid w:val="006B6176"/>
    <w:rsid w:val="006B64C1"/>
    <w:rsid w:val="006B757A"/>
    <w:rsid w:val="006C25BF"/>
    <w:rsid w:val="006C28F5"/>
    <w:rsid w:val="006C3CED"/>
    <w:rsid w:val="006D23AC"/>
    <w:rsid w:val="006D452F"/>
    <w:rsid w:val="006D77F3"/>
    <w:rsid w:val="006E0567"/>
    <w:rsid w:val="006E6BA3"/>
    <w:rsid w:val="006E7B3D"/>
    <w:rsid w:val="006E7D1E"/>
    <w:rsid w:val="006F0C44"/>
    <w:rsid w:val="006F0C49"/>
    <w:rsid w:val="006F19B2"/>
    <w:rsid w:val="006F307E"/>
    <w:rsid w:val="00703854"/>
    <w:rsid w:val="00706DE9"/>
    <w:rsid w:val="00707609"/>
    <w:rsid w:val="00712A7B"/>
    <w:rsid w:val="00713EE8"/>
    <w:rsid w:val="00714019"/>
    <w:rsid w:val="00716523"/>
    <w:rsid w:val="00733A6A"/>
    <w:rsid w:val="00735A0D"/>
    <w:rsid w:val="00741A66"/>
    <w:rsid w:val="0074458D"/>
    <w:rsid w:val="00750316"/>
    <w:rsid w:val="00754FC1"/>
    <w:rsid w:val="0075666E"/>
    <w:rsid w:val="007570C3"/>
    <w:rsid w:val="007653AB"/>
    <w:rsid w:val="00766F47"/>
    <w:rsid w:val="00770122"/>
    <w:rsid w:val="00774D47"/>
    <w:rsid w:val="00776025"/>
    <w:rsid w:val="00776401"/>
    <w:rsid w:val="00780B7D"/>
    <w:rsid w:val="007826D5"/>
    <w:rsid w:val="00784D97"/>
    <w:rsid w:val="00785620"/>
    <w:rsid w:val="007916B1"/>
    <w:rsid w:val="00792042"/>
    <w:rsid w:val="007A0196"/>
    <w:rsid w:val="007A0EC8"/>
    <w:rsid w:val="007A13AF"/>
    <w:rsid w:val="007A1AA8"/>
    <w:rsid w:val="007A20CA"/>
    <w:rsid w:val="007B13EC"/>
    <w:rsid w:val="007B4D73"/>
    <w:rsid w:val="007C4D5A"/>
    <w:rsid w:val="007C6C54"/>
    <w:rsid w:val="007D3CCA"/>
    <w:rsid w:val="007D4AE4"/>
    <w:rsid w:val="00800852"/>
    <w:rsid w:val="00801EB8"/>
    <w:rsid w:val="008054C9"/>
    <w:rsid w:val="00806DDD"/>
    <w:rsid w:val="008121F7"/>
    <w:rsid w:val="00815FDC"/>
    <w:rsid w:val="0082131B"/>
    <w:rsid w:val="0082189E"/>
    <w:rsid w:val="00824697"/>
    <w:rsid w:val="00826536"/>
    <w:rsid w:val="008322CA"/>
    <w:rsid w:val="00833D64"/>
    <w:rsid w:val="00834526"/>
    <w:rsid w:val="00834A02"/>
    <w:rsid w:val="00835AF3"/>
    <w:rsid w:val="008379B9"/>
    <w:rsid w:val="0084005A"/>
    <w:rsid w:val="00840220"/>
    <w:rsid w:val="00850E82"/>
    <w:rsid w:val="00851DA3"/>
    <w:rsid w:val="00854A19"/>
    <w:rsid w:val="00854B92"/>
    <w:rsid w:val="008828B2"/>
    <w:rsid w:val="00890FBC"/>
    <w:rsid w:val="00894E8C"/>
    <w:rsid w:val="00895ADF"/>
    <w:rsid w:val="008A5935"/>
    <w:rsid w:val="008C0A3B"/>
    <w:rsid w:val="008E3581"/>
    <w:rsid w:val="008E38E8"/>
    <w:rsid w:val="008E587F"/>
    <w:rsid w:val="008F4994"/>
    <w:rsid w:val="009032D4"/>
    <w:rsid w:val="00906155"/>
    <w:rsid w:val="00921065"/>
    <w:rsid w:val="0092136E"/>
    <w:rsid w:val="00922144"/>
    <w:rsid w:val="0092642D"/>
    <w:rsid w:val="00930774"/>
    <w:rsid w:val="009325F7"/>
    <w:rsid w:val="00932A72"/>
    <w:rsid w:val="009335D5"/>
    <w:rsid w:val="00935871"/>
    <w:rsid w:val="0093634E"/>
    <w:rsid w:val="00937370"/>
    <w:rsid w:val="00954145"/>
    <w:rsid w:val="00962CEA"/>
    <w:rsid w:val="00981ED1"/>
    <w:rsid w:val="00985A94"/>
    <w:rsid w:val="009911EC"/>
    <w:rsid w:val="0099229A"/>
    <w:rsid w:val="00994727"/>
    <w:rsid w:val="009971A5"/>
    <w:rsid w:val="009A3F0B"/>
    <w:rsid w:val="009A6B09"/>
    <w:rsid w:val="009B1E83"/>
    <w:rsid w:val="009B4ECE"/>
    <w:rsid w:val="009B55F1"/>
    <w:rsid w:val="009B7010"/>
    <w:rsid w:val="009B7AD7"/>
    <w:rsid w:val="009C78FF"/>
    <w:rsid w:val="009D0CAB"/>
    <w:rsid w:val="009D0ED5"/>
    <w:rsid w:val="009D310F"/>
    <w:rsid w:val="009D6BEA"/>
    <w:rsid w:val="009E3BEA"/>
    <w:rsid w:val="009E66A5"/>
    <w:rsid w:val="009F0CEA"/>
    <w:rsid w:val="009F7285"/>
    <w:rsid w:val="00A017C6"/>
    <w:rsid w:val="00A02A18"/>
    <w:rsid w:val="00A071E7"/>
    <w:rsid w:val="00A10AE3"/>
    <w:rsid w:val="00A35E23"/>
    <w:rsid w:val="00A36FA7"/>
    <w:rsid w:val="00A40D35"/>
    <w:rsid w:val="00A45325"/>
    <w:rsid w:val="00A50465"/>
    <w:rsid w:val="00A6422B"/>
    <w:rsid w:val="00A6499F"/>
    <w:rsid w:val="00A73A78"/>
    <w:rsid w:val="00A81294"/>
    <w:rsid w:val="00A8257C"/>
    <w:rsid w:val="00A900ED"/>
    <w:rsid w:val="00A91F1C"/>
    <w:rsid w:val="00A97FD0"/>
    <w:rsid w:val="00AA123F"/>
    <w:rsid w:val="00AA3C21"/>
    <w:rsid w:val="00AA479D"/>
    <w:rsid w:val="00AA4F27"/>
    <w:rsid w:val="00AB14A7"/>
    <w:rsid w:val="00AB7A5A"/>
    <w:rsid w:val="00AC7995"/>
    <w:rsid w:val="00AC7F5C"/>
    <w:rsid w:val="00AE20FF"/>
    <w:rsid w:val="00AF18BA"/>
    <w:rsid w:val="00AF4F52"/>
    <w:rsid w:val="00B000AB"/>
    <w:rsid w:val="00B10850"/>
    <w:rsid w:val="00B242FC"/>
    <w:rsid w:val="00B24CC2"/>
    <w:rsid w:val="00B26AB7"/>
    <w:rsid w:val="00B318AD"/>
    <w:rsid w:val="00B34762"/>
    <w:rsid w:val="00B35030"/>
    <w:rsid w:val="00B37F6E"/>
    <w:rsid w:val="00B4109A"/>
    <w:rsid w:val="00B614E2"/>
    <w:rsid w:val="00B651B1"/>
    <w:rsid w:val="00B65C59"/>
    <w:rsid w:val="00B77972"/>
    <w:rsid w:val="00B8278E"/>
    <w:rsid w:val="00B94528"/>
    <w:rsid w:val="00B96397"/>
    <w:rsid w:val="00B9689B"/>
    <w:rsid w:val="00BA3E31"/>
    <w:rsid w:val="00BA4853"/>
    <w:rsid w:val="00BA5E77"/>
    <w:rsid w:val="00BB2FD5"/>
    <w:rsid w:val="00BB70AA"/>
    <w:rsid w:val="00BB7FBE"/>
    <w:rsid w:val="00BC30C3"/>
    <w:rsid w:val="00BC61D8"/>
    <w:rsid w:val="00BC6CFE"/>
    <w:rsid w:val="00BC6F97"/>
    <w:rsid w:val="00BD335B"/>
    <w:rsid w:val="00BD3F87"/>
    <w:rsid w:val="00BD43CD"/>
    <w:rsid w:val="00BD493C"/>
    <w:rsid w:val="00BF5ED6"/>
    <w:rsid w:val="00C06230"/>
    <w:rsid w:val="00C06975"/>
    <w:rsid w:val="00C17C7E"/>
    <w:rsid w:val="00C219CA"/>
    <w:rsid w:val="00C22B7C"/>
    <w:rsid w:val="00C24255"/>
    <w:rsid w:val="00C32392"/>
    <w:rsid w:val="00C450AA"/>
    <w:rsid w:val="00C5110B"/>
    <w:rsid w:val="00C51573"/>
    <w:rsid w:val="00C62CB5"/>
    <w:rsid w:val="00C63706"/>
    <w:rsid w:val="00C800A3"/>
    <w:rsid w:val="00C83CC3"/>
    <w:rsid w:val="00C84372"/>
    <w:rsid w:val="00C84F9D"/>
    <w:rsid w:val="00C8574A"/>
    <w:rsid w:val="00C933C9"/>
    <w:rsid w:val="00CA035E"/>
    <w:rsid w:val="00CA04F3"/>
    <w:rsid w:val="00CA0585"/>
    <w:rsid w:val="00CA1945"/>
    <w:rsid w:val="00CA1CDE"/>
    <w:rsid w:val="00CB281A"/>
    <w:rsid w:val="00CC44DA"/>
    <w:rsid w:val="00CC4974"/>
    <w:rsid w:val="00CD3B40"/>
    <w:rsid w:val="00CD79BE"/>
    <w:rsid w:val="00CE15B4"/>
    <w:rsid w:val="00CE4B50"/>
    <w:rsid w:val="00CF288E"/>
    <w:rsid w:val="00CF2E1E"/>
    <w:rsid w:val="00D06313"/>
    <w:rsid w:val="00D153E3"/>
    <w:rsid w:val="00D17865"/>
    <w:rsid w:val="00D20115"/>
    <w:rsid w:val="00D221CA"/>
    <w:rsid w:val="00D230FA"/>
    <w:rsid w:val="00D33033"/>
    <w:rsid w:val="00D367A6"/>
    <w:rsid w:val="00D36E18"/>
    <w:rsid w:val="00D43375"/>
    <w:rsid w:val="00D449F8"/>
    <w:rsid w:val="00D478BC"/>
    <w:rsid w:val="00D60B2D"/>
    <w:rsid w:val="00D629C3"/>
    <w:rsid w:val="00D64E75"/>
    <w:rsid w:val="00D71F3A"/>
    <w:rsid w:val="00D722D5"/>
    <w:rsid w:val="00D830D8"/>
    <w:rsid w:val="00D849E4"/>
    <w:rsid w:val="00D93482"/>
    <w:rsid w:val="00D94BCA"/>
    <w:rsid w:val="00DA02DC"/>
    <w:rsid w:val="00DA130B"/>
    <w:rsid w:val="00DA15E3"/>
    <w:rsid w:val="00DA1653"/>
    <w:rsid w:val="00DA2E16"/>
    <w:rsid w:val="00DA3EFE"/>
    <w:rsid w:val="00DA4D00"/>
    <w:rsid w:val="00DA6D78"/>
    <w:rsid w:val="00DA74EE"/>
    <w:rsid w:val="00DC02A9"/>
    <w:rsid w:val="00DC1230"/>
    <w:rsid w:val="00DD4083"/>
    <w:rsid w:val="00DD5BBE"/>
    <w:rsid w:val="00DE1192"/>
    <w:rsid w:val="00DE3A7F"/>
    <w:rsid w:val="00DE73EB"/>
    <w:rsid w:val="00DF158C"/>
    <w:rsid w:val="00DF2DAE"/>
    <w:rsid w:val="00DF39FA"/>
    <w:rsid w:val="00E01E89"/>
    <w:rsid w:val="00E03A46"/>
    <w:rsid w:val="00E03E5C"/>
    <w:rsid w:val="00E05F68"/>
    <w:rsid w:val="00E1209B"/>
    <w:rsid w:val="00E12328"/>
    <w:rsid w:val="00E167E3"/>
    <w:rsid w:val="00E171E6"/>
    <w:rsid w:val="00E24AB3"/>
    <w:rsid w:val="00E25C96"/>
    <w:rsid w:val="00E26901"/>
    <w:rsid w:val="00E422A9"/>
    <w:rsid w:val="00E5356A"/>
    <w:rsid w:val="00E56EB6"/>
    <w:rsid w:val="00E57274"/>
    <w:rsid w:val="00E6652B"/>
    <w:rsid w:val="00E665FA"/>
    <w:rsid w:val="00E67E9E"/>
    <w:rsid w:val="00E7137A"/>
    <w:rsid w:val="00E8053B"/>
    <w:rsid w:val="00E86744"/>
    <w:rsid w:val="00E87D6B"/>
    <w:rsid w:val="00E92CCA"/>
    <w:rsid w:val="00E97636"/>
    <w:rsid w:val="00EA6D69"/>
    <w:rsid w:val="00EB21F7"/>
    <w:rsid w:val="00EB6596"/>
    <w:rsid w:val="00EB79ED"/>
    <w:rsid w:val="00EC2506"/>
    <w:rsid w:val="00EC650F"/>
    <w:rsid w:val="00EC6519"/>
    <w:rsid w:val="00ED1218"/>
    <w:rsid w:val="00ED548F"/>
    <w:rsid w:val="00ED6CD0"/>
    <w:rsid w:val="00EE2F8E"/>
    <w:rsid w:val="00EE464E"/>
    <w:rsid w:val="00F124F5"/>
    <w:rsid w:val="00F15A53"/>
    <w:rsid w:val="00F214B3"/>
    <w:rsid w:val="00F22F4E"/>
    <w:rsid w:val="00F279B5"/>
    <w:rsid w:val="00F27BDC"/>
    <w:rsid w:val="00F30B33"/>
    <w:rsid w:val="00F31376"/>
    <w:rsid w:val="00F334B0"/>
    <w:rsid w:val="00F45E84"/>
    <w:rsid w:val="00F543C7"/>
    <w:rsid w:val="00F60213"/>
    <w:rsid w:val="00F70B27"/>
    <w:rsid w:val="00F7197F"/>
    <w:rsid w:val="00F732B6"/>
    <w:rsid w:val="00F76598"/>
    <w:rsid w:val="00F92DB7"/>
    <w:rsid w:val="00FA3690"/>
    <w:rsid w:val="00FA5546"/>
    <w:rsid w:val="00FA5871"/>
    <w:rsid w:val="00FA6F40"/>
    <w:rsid w:val="00FB09D2"/>
    <w:rsid w:val="00FB59D3"/>
    <w:rsid w:val="00FD1E3C"/>
    <w:rsid w:val="00FD6BCC"/>
    <w:rsid w:val="00FE5A29"/>
    <w:rsid w:val="00FE7641"/>
    <w:rsid w:val="00FF10B8"/>
    <w:rsid w:val="00FF264C"/>
    <w:rsid w:val="00FF5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DAF75"/>
  <w15:chartTrackingRefBased/>
  <w15:docId w15:val="{A101031C-A2B0-40EF-AC54-DD3D943D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F27"/>
    <w:rPr>
      <w:rFonts w:ascii="Cambria" w:hAnsi="Cambria"/>
      <w:sz w:val="24"/>
      <w:szCs w:val="24"/>
    </w:rPr>
  </w:style>
  <w:style w:type="paragraph" w:styleId="Heading1">
    <w:name w:val="heading 1"/>
    <w:basedOn w:val="Normal"/>
    <w:next w:val="Normal"/>
    <w:link w:val="Heading1Char"/>
    <w:uiPriority w:val="9"/>
    <w:qFormat/>
    <w:rsid w:val="00104E3A"/>
    <w:pPr>
      <w:keepNext/>
      <w:keepLines/>
      <w:numPr>
        <w:numId w:val="19"/>
      </w:numPr>
      <w:spacing w:line="360" w:lineRule="auto"/>
      <w:outlineLvl w:val="0"/>
    </w:pPr>
    <w:rPr>
      <w:rFonts w:eastAsiaTheme="majorEastAsia" w:cstheme="minorHAnsi"/>
      <w:b/>
      <w:color w:val="000000" w:themeColor="text1"/>
      <w:sz w:val="28"/>
      <w:szCs w:val="28"/>
    </w:rPr>
  </w:style>
  <w:style w:type="paragraph" w:styleId="Heading2">
    <w:name w:val="heading 2"/>
    <w:basedOn w:val="Normal"/>
    <w:next w:val="Normal"/>
    <w:link w:val="Heading2Char"/>
    <w:uiPriority w:val="9"/>
    <w:unhideWhenUsed/>
    <w:qFormat/>
    <w:rsid w:val="00104E3A"/>
    <w:pPr>
      <w:keepNext/>
      <w:keepLines/>
      <w:numPr>
        <w:ilvl w:val="1"/>
        <w:numId w:val="19"/>
      </w:numPr>
      <w:spacing w:before="40"/>
      <w:outlineLvl w:val="1"/>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4F5"/>
    <w:pPr>
      <w:ind w:left="720"/>
      <w:contextualSpacing/>
    </w:pPr>
  </w:style>
  <w:style w:type="table" w:styleId="TableGrid">
    <w:name w:val="Table Grid"/>
    <w:basedOn w:val="TableNormal"/>
    <w:uiPriority w:val="39"/>
    <w:rsid w:val="006E7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4E3A"/>
    <w:rPr>
      <w:rFonts w:ascii="Cambria" w:eastAsiaTheme="majorEastAsia" w:hAnsi="Cambria" w:cstheme="minorHAnsi"/>
      <w:b/>
      <w:color w:val="000000" w:themeColor="text1"/>
      <w:sz w:val="28"/>
      <w:szCs w:val="28"/>
    </w:rPr>
  </w:style>
  <w:style w:type="character" w:customStyle="1" w:styleId="Heading2Char">
    <w:name w:val="Heading 2 Char"/>
    <w:basedOn w:val="DefaultParagraphFont"/>
    <w:link w:val="Heading2"/>
    <w:uiPriority w:val="9"/>
    <w:rsid w:val="00104E3A"/>
    <w:rPr>
      <w:rFonts w:ascii="Cambria" w:eastAsiaTheme="majorEastAsia" w:hAnsi="Cambria" w:cstheme="majorBidi"/>
      <w:b/>
      <w:color w:val="000000" w:themeColor="text1"/>
      <w:sz w:val="24"/>
      <w:szCs w:val="24"/>
    </w:rPr>
  </w:style>
  <w:style w:type="paragraph" w:styleId="Header">
    <w:name w:val="header"/>
    <w:basedOn w:val="Normal"/>
    <w:link w:val="HeaderChar"/>
    <w:uiPriority w:val="99"/>
    <w:unhideWhenUsed/>
    <w:rsid w:val="00A8257C"/>
    <w:pPr>
      <w:tabs>
        <w:tab w:val="center" w:pos="4680"/>
        <w:tab w:val="right" w:pos="9360"/>
      </w:tabs>
    </w:pPr>
  </w:style>
  <w:style w:type="character" w:customStyle="1" w:styleId="HeaderChar">
    <w:name w:val="Header Char"/>
    <w:basedOn w:val="DefaultParagraphFont"/>
    <w:link w:val="Header"/>
    <w:uiPriority w:val="99"/>
    <w:rsid w:val="00A8257C"/>
    <w:rPr>
      <w:rFonts w:ascii="Cambria" w:hAnsi="Cambria"/>
      <w:sz w:val="24"/>
      <w:szCs w:val="24"/>
    </w:rPr>
  </w:style>
  <w:style w:type="paragraph" w:styleId="Footer">
    <w:name w:val="footer"/>
    <w:basedOn w:val="Normal"/>
    <w:link w:val="FooterChar"/>
    <w:uiPriority w:val="99"/>
    <w:unhideWhenUsed/>
    <w:rsid w:val="00A8257C"/>
    <w:pPr>
      <w:tabs>
        <w:tab w:val="center" w:pos="4680"/>
        <w:tab w:val="right" w:pos="9360"/>
      </w:tabs>
    </w:pPr>
  </w:style>
  <w:style w:type="character" w:customStyle="1" w:styleId="FooterChar">
    <w:name w:val="Footer Char"/>
    <w:basedOn w:val="DefaultParagraphFont"/>
    <w:link w:val="Footer"/>
    <w:uiPriority w:val="99"/>
    <w:rsid w:val="00A8257C"/>
    <w:rPr>
      <w:rFonts w:ascii="Cambria" w:hAnsi="Cambria"/>
      <w:sz w:val="24"/>
      <w:szCs w:val="24"/>
    </w:rPr>
  </w:style>
  <w:style w:type="paragraph" w:styleId="BalloonText">
    <w:name w:val="Balloon Text"/>
    <w:basedOn w:val="Normal"/>
    <w:link w:val="BalloonTextChar"/>
    <w:uiPriority w:val="99"/>
    <w:semiHidden/>
    <w:unhideWhenUsed/>
    <w:rsid w:val="0078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D97"/>
    <w:rPr>
      <w:rFonts w:ascii="Segoe UI" w:hAnsi="Segoe UI" w:cs="Segoe UI"/>
      <w:sz w:val="18"/>
      <w:szCs w:val="18"/>
    </w:rPr>
  </w:style>
  <w:style w:type="character" w:styleId="CommentReference">
    <w:name w:val="annotation reference"/>
    <w:basedOn w:val="DefaultParagraphFont"/>
    <w:uiPriority w:val="99"/>
    <w:semiHidden/>
    <w:unhideWhenUsed/>
    <w:rsid w:val="00E97636"/>
    <w:rPr>
      <w:sz w:val="16"/>
      <w:szCs w:val="16"/>
    </w:rPr>
  </w:style>
  <w:style w:type="paragraph" w:styleId="CommentText">
    <w:name w:val="annotation text"/>
    <w:basedOn w:val="Normal"/>
    <w:link w:val="CommentTextChar"/>
    <w:uiPriority w:val="99"/>
    <w:semiHidden/>
    <w:unhideWhenUsed/>
    <w:rsid w:val="00E97636"/>
    <w:rPr>
      <w:sz w:val="20"/>
      <w:szCs w:val="20"/>
    </w:rPr>
  </w:style>
  <w:style w:type="character" w:customStyle="1" w:styleId="CommentTextChar">
    <w:name w:val="Comment Text Char"/>
    <w:basedOn w:val="DefaultParagraphFont"/>
    <w:link w:val="CommentText"/>
    <w:uiPriority w:val="99"/>
    <w:semiHidden/>
    <w:rsid w:val="00E97636"/>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E97636"/>
    <w:rPr>
      <w:b/>
      <w:bCs/>
    </w:rPr>
  </w:style>
  <w:style w:type="character" w:customStyle="1" w:styleId="CommentSubjectChar">
    <w:name w:val="Comment Subject Char"/>
    <w:basedOn w:val="CommentTextChar"/>
    <w:link w:val="CommentSubject"/>
    <w:uiPriority w:val="99"/>
    <w:semiHidden/>
    <w:rsid w:val="00E97636"/>
    <w:rPr>
      <w:rFonts w:ascii="Cambria" w:hAnsi="Cambria"/>
      <w:b/>
      <w:bCs/>
      <w:sz w:val="20"/>
      <w:szCs w:val="20"/>
    </w:rPr>
  </w:style>
  <w:style w:type="paragraph" w:styleId="NoSpacing">
    <w:name w:val="No Spacing"/>
    <w:uiPriority w:val="1"/>
    <w:qFormat/>
    <w:rsid w:val="00A73A78"/>
    <w:rPr>
      <w:rFonts w:ascii="Cambria" w:hAnsi="Cambria"/>
      <w:sz w:val="24"/>
      <w:szCs w:val="24"/>
    </w:rPr>
  </w:style>
  <w:style w:type="character" w:styleId="Hyperlink">
    <w:name w:val="Hyperlink"/>
    <w:basedOn w:val="DefaultParagraphFont"/>
    <w:uiPriority w:val="99"/>
    <w:unhideWhenUsed/>
    <w:rsid w:val="00A017C6"/>
    <w:rPr>
      <w:color w:val="0563C1" w:themeColor="hyperlink"/>
      <w:u w:val="single"/>
    </w:rPr>
  </w:style>
  <w:style w:type="character" w:styleId="UnresolvedMention">
    <w:name w:val="Unresolved Mention"/>
    <w:basedOn w:val="DefaultParagraphFont"/>
    <w:uiPriority w:val="99"/>
    <w:semiHidden/>
    <w:unhideWhenUsed/>
    <w:rsid w:val="00E71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031">
      <w:bodyDiv w:val="1"/>
      <w:marLeft w:val="0"/>
      <w:marRight w:val="0"/>
      <w:marTop w:val="0"/>
      <w:marBottom w:val="0"/>
      <w:divBdr>
        <w:top w:val="none" w:sz="0" w:space="0" w:color="auto"/>
        <w:left w:val="none" w:sz="0" w:space="0" w:color="auto"/>
        <w:bottom w:val="none" w:sz="0" w:space="0" w:color="auto"/>
        <w:right w:val="none" w:sz="0" w:space="0" w:color="auto"/>
      </w:divBdr>
    </w:div>
    <w:div w:id="60952155">
      <w:bodyDiv w:val="1"/>
      <w:marLeft w:val="0"/>
      <w:marRight w:val="0"/>
      <w:marTop w:val="0"/>
      <w:marBottom w:val="0"/>
      <w:divBdr>
        <w:top w:val="none" w:sz="0" w:space="0" w:color="auto"/>
        <w:left w:val="none" w:sz="0" w:space="0" w:color="auto"/>
        <w:bottom w:val="none" w:sz="0" w:space="0" w:color="auto"/>
        <w:right w:val="none" w:sz="0" w:space="0" w:color="auto"/>
      </w:divBdr>
    </w:div>
    <w:div w:id="125391613">
      <w:bodyDiv w:val="1"/>
      <w:marLeft w:val="0"/>
      <w:marRight w:val="0"/>
      <w:marTop w:val="0"/>
      <w:marBottom w:val="0"/>
      <w:divBdr>
        <w:top w:val="none" w:sz="0" w:space="0" w:color="auto"/>
        <w:left w:val="none" w:sz="0" w:space="0" w:color="auto"/>
        <w:bottom w:val="none" w:sz="0" w:space="0" w:color="auto"/>
        <w:right w:val="none" w:sz="0" w:space="0" w:color="auto"/>
      </w:divBdr>
    </w:div>
    <w:div w:id="255216835">
      <w:bodyDiv w:val="1"/>
      <w:marLeft w:val="0"/>
      <w:marRight w:val="0"/>
      <w:marTop w:val="0"/>
      <w:marBottom w:val="0"/>
      <w:divBdr>
        <w:top w:val="none" w:sz="0" w:space="0" w:color="auto"/>
        <w:left w:val="none" w:sz="0" w:space="0" w:color="auto"/>
        <w:bottom w:val="none" w:sz="0" w:space="0" w:color="auto"/>
        <w:right w:val="none" w:sz="0" w:space="0" w:color="auto"/>
      </w:divBdr>
    </w:div>
    <w:div w:id="298268277">
      <w:bodyDiv w:val="1"/>
      <w:marLeft w:val="0"/>
      <w:marRight w:val="0"/>
      <w:marTop w:val="0"/>
      <w:marBottom w:val="0"/>
      <w:divBdr>
        <w:top w:val="none" w:sz="0" w:space="0" w:color="auto"/>
        <w:left w:val="none" w:sz="0" w:space="0" w:color="auto"/>
        <w:bottom w:val="none" w:sz="0" w:space="0" w:color="auto"/>
        <w:right w:val="none" w:sz="0" w:space="0" w:color="auto"/>
      </w:divBdr>
    </w:div>
    <w:div w:id="535384847">
      <w:bodyDiv w:val="1"/>
      <w:marLeft w:val="0"/>
      <w:marRight w:val="0"/>
      <w:marTop w:val="0"/>
      <w:marBottom w:val="0"/>
      <w:divBdr>
        <w:top w:val="none" w:sz="0" w:space="0" w:color="auto"/>
        <w:left w:val="none" w:sz="0" w:space="0" w:color="auto"/>
        <w:bottom w:val="none" w:sz="0" w:space="0" w:color="auto"/>
        <w:right w:val="none" w:sz="0" w:space="0" w:color="auto"/>
      </w:divBdr>
    </w:div>
    <w:div w:id="722171167">
      <w:bodyDiv w:val="1"/>
      <w:marLeft w:val="0"/>
      <w:marRight w:val="0"/>
      <w:marTop w:val="0"/>
      <w:marBottom w:val="0"/>
      <w:divBdr>
        <w:top w:val="none" w:sz="0" w:space="0" w:color="auto"/>
        <w:left w:val="none" w:sz="0" w:space="0" w:color="auto"/>
        <w:bottom w:val="none" w:sz="0" w:space="0" w:color="auto"/>
        <w:right w:val="none" w:sz="0" w:space="0" w:color="auto"/>
      </w:divBdr>
    </w:div>
    <w:div w:id="770394556">
      <w:bodyDiv w:val="1"/>
      <w:marLeft w:val="0"/>
      <w:marRight w:val="0"/>
      <w:marTop w:val="0"/>
      <w:marBottom w:val="0"/>
      <w:divBdr>
        <w:top w:val="none" w:sz="0" w:space="0" w:color="auto"/>
        <w:left w:val="none" w:sz="0" w:space="0" w:color="auto"/>
        <w:bottom w:val="none" w:sz="0" w:space="0" w:color="auto"/>
        <w:right w:val="none" w:sz="0" w:space="0" w:color="auto"/>
      </w:divBdr>
    </w:div>
    <w:div w:id="1044259081">
      <w:bodyDiv w:val="1"/>
      <w:marLeft w:val="0"/>
      <w:marRight w:val="0"/>
      <w:marTop w:val="0"/>
      <w:marBottom w:val="0"/>
      <w:divBdr>
        <w:top w:val="none" w:sz="0" w:space="0" w:color="auto"/>
        <w:left w:val="none" w:sz="0" w:space="0" w:color="auto"/>
        <w:bottom w:val="none" w:sz="0" w:space="0" w:color="auto"/>
        <w:right w:val="none" w:sz="0" w:space="0" w:color="auto"/>
      </w:divBdr>
    </w:div>
    <w:div w:id="1088187725">
      <w:bodyDiv w:val="1"/>
      <w:marLeft w:val="0"/>
      <w:marRight w:val="0"/>
      <w:marTop w:val="0"/>
      <w:marBottom w:val="0"/>
      <w:divBdr>
        <w:top w:val="none" w:sz="0" w:space="0" w:color="auto"/>
        <w:left w:val="none" w:sz="0" w:space="0" w:color="auto"/>
        <w:bottom w:val="none" w:sz="0" w:space="0" w:color="auto"/>
        <w:right w:val="none" w:sz="0" w:space="0" w:color="auto"/>
      </w:divBdr>
    </w:div>
    <w:div w:id="1264730390">
      <w:bodyDiv w:val="1"/>
      <w:marLeft w:val="0"/>
      <w:marRight w:val="0"/>
      <w:marTop w:val="0"/>
      <w:marBottom w:val="0"/>
      <w:divBdr>
        <w:top w:val="none" w:sz="0" w:space="0" w:color="auto"/>
        <w:left w:val="none" w:sz="0" w:space="0" w:color="auto"/>
        <w:bottom w:val="none" w:sz="0" w:space="0" w:color="auto"/>
        <w:right w:val="none" w:sz="0" w:space="0" w:color="auto"/>
      </w:divBdr>
    </w:div>
    <w:div w:id="1304893128">
      <w:bodyDiv w:val="1"/>
      <w:marLeft w:val="0"/>
      <w:marRight w:val="0"/>
      <w:marTop w:val="0"/>
      <w:marBottom w:val="0"/>
      <w:divBdr>
        <w:top w:val="none" w:sz="0" w:space="0" w:color="auto"/>
        <w:left w:val="none" w:sz="0" w:space="0" w:color="auto"/>
        <w:bottom w:val="none" w:sz="0" w:space="0" w:color="auto"/>
        <w:right w:val="none" w:sz="0" w:space="0" w:color="auto"/>
      </w:divBdr>
    </w:div>
    <w:div w:id="1394961639">
      <w:bodyDiv w:val="1"/>
      <w:marLeft w:val="0"/>
      <w:marRight w:val="0"/>
      <w:marTop w:val="0"/>
      <w:marBottom w:val="0"/>
      <w:divBdr>
        <w:top w:val="none" w:sz="0" w:space="0" w:color="auto"/>
        <w:left w:val="none" w:sz="0" w:space="0" w:color="auto"/>
        <w:bottom w:val="none" w:sz="0" w:space="0" w:color="auto"/>
        <w:right w:val="none" w:sz="0" w:space="0" w:color="auto"/>
      </w:divBdr>
    </w:div>
    <w:div w:id="1582639581">
      <w:bodyDiv w:val="1"/>
      <w:marLeft w:val="0"/>
      <w:marRight w:val="0"/>
      <w:marTop w:val="0"/>
      <w:marBottom w:val="0"/>
      <w:divBdr>
        <w:top w:val="none" w:sz="0" w:space="0" w:color="auto"/>
        <w:left w:val="none" w:sz="0" w:space="0" w:color="auto"/>
        <w:bottom w:val="none" w:sz="0" w:space="0" w:color="auto"/>
        <w:right w:val="none" w:sz="0" w:space="0" w:color="auto"/>
      </w:divBdr>
    </w:div>
    <w:div w:id="1611546744">
      <w:bodyDiv w:val="1"/>
      <w:marLeft w:val="0"/>
      <w:marRight w:val="0"/>
      <w:marTop w:val="0"/>
      <w:marBottom w:val="0"/>
      <w:divBdr>
        <w:top w:val="none" w:sz="0" w:space="0" w:color="auto"/>
        <w:left w:val="none" w:sz="0" w:space="0" w:color="auto"/>
        <w:bottom w:val="none" w:sz="0" w:space="0" w:color="auto"/>
        <w:right w:val="none" w:sz="0" w:space="0" w:color="auto"/>
      </w:divBdr>
    </w:div>
    <w:div w:id="1838032561">
      <w:bodyDiv w:val="1"/>
      <w:marLeft w:val="0"/>
      <w:marRight w:val="0"/>
      <w:marTop w:val="0"/>
      <w:marBottom w:val="0"/>
      <w:divBdr>
        <w:top w:val="none" w:sz="0" w:space="0" w:color="auto"/>
        <w:left w:val="none" w:sz="0" w:space="0" w:color="auto"/>
        <w:bottom w:val="none" w:sz="0" w:space="0" w:color="auto"/>
        <w:right w:val="none" w:sz="0" w:space="0" w:color="auto"/>
      </w:divBdr>
      <w:divsChild>
        <w:div w:id="2133357588">
          <w:marLeft w:val="0"/>
          <w:marRight w:val="0"/>
          <w:marTop w:val="0"/>
          <w:marBottom w:val="0"/>
          <w:divBdr>
            <w:top w:val="none" w:sz="0" w:space="0" w:color="auto"/>
            <w:left w:val="none" w:sz="0" w:space="0" w:color="auto"/>
            <w:bottom w:val="none" w:sz="0" w:space="0" w:color="auto"/>
            <w:right w:val="none" w:sz="0" w:space="0" w:color="auto"/>
          </w:divBdr>
        </w:div>
      </w:divsChild>
    </w:div>
    <w:div w:id="2063869852">
      <w:bodyDiv w:val="1"/>
      <w:marLeft w:val="0"/>
      <w:marRight w:val="0"/>
      <w:marTop w:val="0"/>
      <w:marBottom w:val="0"/>
      <w:divBdr>
        <w:top w:val="none" w:sz="0" w:space="0" w:color="auto"/>
        <w:left w:val="none" w:sz="0" w:space="0" w:color="auto"/>
        <w:bottom w:val="none" w:sz="0" w:space="0" w:color="auto"/>
        <w:right w:val="none" w:sz="0" w:space="0" w:color="auto"/>
      </w:divBdr>
    </w:div>
    <w:div w:id="2106682067">
      <w:bodyDiv w:val="1"/>
      <w:marLeft w:val="0"/>
      <w:marRight w:val="0"/>
      <w:marTop w:val="0"/>
      <w:marBottom w:val="0"/>
      <w:divBdr>
        <w:top w:val="none" w:sz="0" w:space="0" w:color="auto"/>
        <w:left w:val="none" w:sz="0" w:space="0" w:color="auto"/>
        <w:bottom w:val="none" w:sz="0" w:space="0" w:color="auto"/>
        <w:right w:val="none" w:sz="0" w:space="0" w:color="auto"/>
      </w:divBdr>
    </w:div>
    <w:div w:id="2110006934">
      <w:bodyDiv w:val="1"/>
      <w:marLeft w:val="0"/>
      <w:marRight w:val="0"/>
      <w:marTop w:val="0"/>
      <w:marBottom w:val="0"/>
      <w:divBdr>
        <w:top w:val="none" w:sz="0" w:space="0" w:color="auto"/>
        <w:left w:val="none" w:sz="0" w:space="0" w:color="auto"/>
        <w:bottom w:val="none" w:sz="0" w:space="0" w:color="auto"/>
        <w:right w:val="none" w:sz="0" w:space="0" w:color="auto"/>
      </w:divBdr>
    </w:div>
    <w:div w:id="21101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grity.fiu.edu/misconduct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FA79C-6510-4094-9E3A-378B71A9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11823</TotalTime>
  <Pages>8</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Norihiko Matsuda</dc:creator>
  <cp:keywords/>
  <dc:description/>
  <cp:lastModifiedBy>Norihiko Matsuda</cp:lastModifiedBy>
  <cp:revision>189</cp:revision>
  <cp:lastPrinted>2022-08-23T16:30:00Z</cp:lastPrinted>
  <dcterms:created xsi:type="dcterms:W3CDTF">2018-08-16T17:54:00Z</dcterms:created>
  <dcterms:modified xsi:type="dcterms:W3CDTF">2023-08-22T00:16:00Z</dcterms:modified>
</cp:coreProperties>
</file>